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Telecom Customer Churn Prediction</w:t>
      </w:r>
    </w:p>
    <w:p>
      <w:pPr>
        <w:pStyle w:val="Subtitle"/>
      </w:pPr>
      <w:r>
        <w:t>CCZG506 API driven Cloud Native Solutions</w:t>
      </w:r>
    </w:p>
    <w:p>
      <w:r>
        <w:t>Assignment I review copy</w:t>
      </w:r>
    </w:p>
    <w:p>
      <w:r>
        <w:t>This project identifies customers at risk of leaving a telecom service. A scheduled Prefect workflow performs data preparation and exploration, then trains and evaluates two classifiers. Prefect APIs expose the application's flows, deployments and execution details.</w:t>
      </w:r>
    </w:p>
    <w:p>
      <w:r>
        <w:t>Group number: ________________</w:t>
      </w:r>
    </w:p>
    <w:tbl>
      <w:tblPr>
        <w:tblW w:type="auto" w:w="0"/>
        <w:jc w:val="center"/>
        <w:tblLayout w:type="fixed"/>
        <w:tblLook w:firstColumn="1" w:firstRow="1" w:lastColumn="0" w:lastRow="0" w:noHBand="0" w:noVBand="1" w:val="04A0"/>
      </w:tblPr>
      <w:tblGrid>
        <w:gridCol w:w="1584"/>
        <w:gridCol w:w="1872"/>
        <w:gridCol w:w="5184"/>
        <w:gridCol w:w="720"/>
      </w:tblGrid>
      <w:tr>
        <w:trPr>
          <w:tblHeader/>
          <w:cantSplit/>
        </w:trPr>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BITS ID</w:t>
            </w:r>
          </w:p>
        </w:tc>
        <w:tc>
          <w:tcPr>
            <w:tcW w:type="dxa" w:w="187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Name</w:t>
            </w:r>
          </w:p>
        </w:tc>
        <w:tc>
          <w:tcPr>
            <w:tcW w:type="dxa" w:w="51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Contribution</w:t>
            </w:r>
          </w:p>
        </w:tc>
        <w:tc>
          <w:tcPr>
            <w:tcW w:type="dxa" w:w="72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w:t>
            </w:r>
          </w:p>
        </w:tc>
      </w:tr>
      <w:tr>
        <w:trPr>
          <w:cantSplit/>
        </w:trPr>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r>
          </w:p>
        </w:tc>
        <w:tc>
          <w:tcPr>
            <w:tcW w:type="dxa" w:w="187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r>
          </w:p>
        </w:tc>
        <w:tc>
          <w:tcPr>
            <w:tcW w:type="dxa" w:w="51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r>
          </w:p>
        </w:tc>
        <w:tc>
          <w:tcPr>
            <w:tcW w:type="dxa" w:w="7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r>
          </w:p>
        </w:tc>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r>
          </w:p>
        </w:tc>
        <w:tc>
          <w:tcPr>
            <w:tcW w:type="dxa" w:w="51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r>
          </w:p>
        </w:tc>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r>
          </w:p>
        </w:tc>
      </w:tr>
    </w:tbl>
    <w:p>
      <w:pPr>
        <w:spacing w:after="40"/>
      </w:pPr>
    </w:p>
    <w:p>
      <w:pPr>
        <w:pStyle w:val="Heading1"/>
      </w:pPr>
      <w:r>
        <w:t>Execution and evidence</w:t>
      </w:r>
    </w:p>
    <w:p>
      <w:r>
        <w:t>Execution environment: local. Latest completed cycle: 2026-10-25T09:00:20.043240+00:00. The original repository outputs are retained separately from these results.</w:t>
      </w:r>
    </w:p>
    <w:p>
      <w:r>
        <w:t>The evidence in this review demonstrates local execution. Cloud hosting has not yet been demonstrated.</w:t>
      </w:r>
    </w:p>
    <w:p>
      <w:pPr>
        <w:pStyle w:val="Heading1"/>
      </w:pPr>
      <w:r>
        <w:t>1 Data pipeline</w:t>
      </w:r>
    </w:p>
    <w:p>
      <w:pPr>
        <w:pStyle w:val="Heading2"/>
      </w:pPr>
      <w:r>
        <w:t>1.1 Business understanding and data ingestion</w:t>
      </w:r>
    </w:p>
    <w:p>
      <w:r>
        <w:t>The business objective is to support retention decisions by predicting customer churn from account, service and demographic attributes. The public IBM Telco Customer Churn dataset contains 7043 records and 21 columns. Churn is a binary Yes or No target; customerID is excluded from model features.</w:t>
      </w:r>
    </w:p>
    <w:p>
      <w:r>
        <w:t>Dataset source: https://raw.githubusercontent.com/IBM/telco-customer-churn-on-icp4d/master/data/Telco-Customer-Churn.csv</w:t>
      </w:r>
    </w:p>
    <w:p>
      <w:pPr>
        <w:keepNext/>
        <w:jc w:val="center"/>
      </w:pPr>
      <w:r>
        <w:drawing>
          <wp:inline xmlns:a="http://schemas.openxmlformats.org/drawingml/2006/main" xmlns:pic="http://schemas.openxmlformats.org/drawingml/2006/picture">
            <wp:extent cx="4114800" cy="2711302"/>
            <wp:docPr id="1" name="Picture 1"/>
            <wp:cNvGraphicFramePr>
              <a:graphicFrameLocks noChangeAspect="1"/>
            </wp:cNvGraphicFramePr>
            <a:graphic>
              <a:graphicData uri="http://schemas.openxmlformats.org/drawingml/2006/picture">
                <pic:pic>
                  <pic:nvPicPr>
                    <pic:cNvPr id="0" name="univariate_churn_distribution.png"/>
                    <pic:cNvPicPr/>
                  </pic:nvPicPr>
                  <pic:blipFill>
                    <a:blip r:embed="rId9"/>
                    <a:stretch>
                      <a:fillRect/>
                    </a:stretch>
                  </pic:blipFill>
                  <pic:spPr>
                    <a:xfrm>
                      <a:off x="0" y="0"/>
                      <a:ext cx="4114800" cy="2711302"/>
                    </a:xfrm>
                    <a:prstGeom prst="rect"/>
                  </pic:spPr>
                </pic:pic>
              </a:graphicData>
            </a:graphic>
          </wp:inline>
        </w:drawing>
      </w:r>
    </w:p>
    <w:p>
      <w:pPr>
        <w:jc w:val="center"/>
      </w:pPr>
      <w:r>
        <w:rPr>
          <w:i/>
          <w:sz w:val="18"/>
        </w:rPr>
        <w:t>Figure 1 Customer churn class balance</w:t>
      </w:r>
    </w:p>
    <w:p>
      <w:pPr>
        <w:pStyle w:val="Heading2"/>
      </w:pPr>
      <w:r>
        <w:t>1.2 Preprocessing</w:t>
      </w:r>
    </w:p>
    <w:p>
      <w:r>
        <w:t>The workflow coerces TotalCharges to numeric, identifies missing values, and induces 352 missing entries in each of tenure, MonthlyCharges and TotalCharges using a fixed random seed. Full-data EDA uses median imputation and Min-Max normalisation. The pre-imputation snapshot is passed separately to ML so that test records cannot influence training preprocessing.</w:t>
      </w:r>
    </w:p>
    <w:tbl>
      <w:tblPr>
        <w:tblW w:type="auto" w:w="0"/>
        <w:jc w:val="center"/>
        <w:tblLayout w:type="fixed"/>
        <w:tblLook w:firstColumn="1" w:firstRow="1" w:lastColumn="0" w:lastRow="0" w:noHBand="0" w:noVBand="1" w:val="04A0"/>
      </w:tblPr>
      <w:tblGrid>
        <w:gridCol w:w="2088"/>
        <w:gridCol w:w="1008"/>
        <w:gridCol w:w="1584"/>
        <w:gridCol w:w="1584"/>
        <w:gridCol w:w="1440"/>
        <w:gridCol w:w="1656"/>
      </w:tblGrid>
      <w:tr>
        <w:trPr>
          <w:tblHeader/>
          <w:cantSplit/>
        </w:trPr>
        <w:tc>
          <w:tcPr>
            <w:tcW w:type="dxa" w:w="208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Feature</w:t>
            </w:r>
          </w:p>
        </w:tc>
        <w:tc>
          <w:tcPr>
            <w:tcW w:type="dxa" w:w="100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Count</w:t>
            </w:r>
          </w:p>
        </w:tc>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Mean</w:t>
            </w:r>
          </w:p>
        </w:tc>
        <w:tc>
          <w:tcPr>
            <w:tcW w:type="dxa" w:w="158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Std</w:t>
            </w:r>
          </w:p>
        </w:tc>
        <w:tc>
          <w:tcPr>
            <w:tcW w:type="dxa" w:w="144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Min</w:t>
            </w:r>
          </w:p>
        </w:tc>
        <w:tc>
          <w:tcPr>
            <w:tcW w:type="dxa" w:w="1656"/>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Max</w:t>
            </w:r>
          </w:p>
        </w:tc>
      </w:tr>
      <w:tr>
        <w:trPr>
          <w:cantSplit/>
        </w:trPr>
        <w:tc>
          <w:tcPr>
            <w:tcW w:type="dxa" w:w="208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SeniorCitizen</w:t>
            </w:r>
          </w:p>
        </w:tc>
        <w:tc>
          <w:tcPr>
            <w:tcW w:type="dxa" w:w="10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0.16</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0.37</w:t>
            </w:r>
          </w:p>
        </w:tc>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0.00</w:t>
            </w:r>
          </w:p>
        </w:tc>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1.00</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tenure</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32.37</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24.56</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0.00</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72.00</w:t>
            </w:r>
          </w:p>
        </w:tc>
      </w:tr>
      <w:tr>
        <w:trPr>
          <w:cantSplit/>
        </w:trPr>
        <w:tc>
          <w:tcPr>
            <w:tcW w:type="dxa" w:w="208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MonthlyCharges</w:t>
            </w:r>
          </w:p>
        </w:tc>
        <w:tc>
          <w:tcPr>
            <w:tcW w:type="dxa" w:w="10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7043</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64.76</w:t>
            </w:r>
          </w:p>
        </w:tc>
        <w:tc>
          <w:tcPr>
            <w:tcW w:type="dxa" w:w="15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30.09</w:t>
            </w:r>
          </w:p>
        </w:tc>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18.25</w:t>
            </w:r>
          </w:p>
        </w:tc>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118.75</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TotalCharges</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7032</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2283.30</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2266.77</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18.80</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8684.80</w:t>
            </w:r>
          </w:p>
        </w:tc>
      </w:tr>
    </w:tbl>
    <w:p>
      <w:pPr>
        <w:spacing w:after="40"/>
      </w:pPr>
    </w:p>
    <w:tbl>
      <w:tblPr>
        <w:tblW w:type="auto" w:w="0"/>
        <w:jc w:val="center"/>
        <w:tblLayout w:type="fixed"/>
        <w:tblLook w:firstColumn="1" w:firstRow="1" w:lastColumn="0" w:lastRow="0" w:noHBand="0" w:noVBand="1" w:val="04A0"/>
      </w:tblPr>
      <w:tblGrid>
        <w:gridCol w:w="6192"/>
        <w:gridCol w:w="3168"/>
      </w:tblGrid>
      <w:tr>
        <w:trPr>
          <w:tblHeader/>
          <w:cantSplit/>
        </w:trPr>
        <w:tc>
          <w:tcPr>
            <w:tcW w:type="dxa" w:w="619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Column</w:t>
            </w:r>
          </w:p>
        </w:tc>
        <w:tc>
          <w:tcPr>
            <w:tcW w:type="dxa" w:w="316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Data type</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customerID</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gender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SeniorCitizen</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int64</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Partner</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Dependents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tenure</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int64</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PhoneService</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MultipleLines</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InternetService</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OnlineSecurity</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OnlineBackup</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DeviceProtection</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TechSupport</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StreamingTV</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StreamingMovies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Contract</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PaperlessBilling</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PaymentMethod</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object</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MonthlyCharges</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float64</w:t>
            </w:r>
          </w:p>
        </w:tc>
      </w:tr>
      <w:tr>
        <w:trPr>
          <w:cantSplit/>
        </w:trPr>
        <w:tc>
          <w:tcPr>
            <w:tcW w:type="dxa" w:w="61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TotalCharges</w:t>
            </w:r>
          </w:p>
        </w:tc>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float64</w:t>
            </w:r>
          </w:p>
        </w:tc>
      </w:tr>
      <w:tr>
        <w:trPr>
          <w:cantSplit/>
        </w:trPr>
        <w:tc>
          <w:tcPr>
            <w:tcW w:type="dxa" w:w="619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Churn</w:t>
            </w:r>
          </w:p>
        </w:tc>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object</w:t>
            </w:r>
          </w:p>
        </w:tc>
      </w:tr>
    </w:tbl>
    <w:p>
      <w:pPr>
        <w:spacing w:after="40"/>
      </w:pPr>
    </w:p>
    <w:tbl>
      <w:tblPr>
        <w:tblW w:type="auto" w:w="0"/>
        <w:jc w:val="center"/>
        <w:tblLayout w:type="fixed"/>
        <w:tblLook w:firstColumn="1" w:firstRow="1" w:lastColumn="0" w:lastRow="0" w:noHBand="0" w:noVBand="1" w:val="04A0"/>
      </w:tblPr>
      <w:tblGrid>
        <w:gridCol w:w="3600"/>
        <w:gridCol w:w="2880"/>
        <w:gridCol w:w="2880"/>
      </w:tblGrid>
      <w:tr>
        <w:trPr>
          <w:tblHeader/>
          <w:cantSplit/>
        </w:trPr>
        <w:tc>
          <w:tcPr>
            <w:tcW w:type="dxa" w:w="360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Numeric feature</w:t>
            </w:r>
          </w:p>
        </w:tc>
        <w:tc>
          <w:tcPr>
            <w:tcW w:type="dxa" w:w="288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Original example</w:t>
            </w:r>
          </w:p>
        </w:tc>
        <w:tc>
          <w:tcPr>
            <w:tcW w:type="dxa" w:w="288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Normalised example</w:t>
            </w:r>
          </w:p>
        </w:tc>
      </w:tr>
      <w:tr>
        <w:trPr>
          <w:cantSplit/>
        </w:trPr>
        <w:tc>
          <w:tcPr>
            <w:tcW w:type="dxa" w:w="36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tenure</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1.00</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0.0139</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MonthlyCharges</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29.85</w:t>
            </w:r>
          </w:p>
        </w:tc>
        <w:tc>
          <w:tcPr>
            <w:tcW w:type="dxa" w:w="28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0.1141</w:t>
            </w:r>
          </w:p>
        </w:tc>
      </w:tr>
      <w:tr>
        <w:trPr>
          <w:cantSplit/>
        </w:trPr>
        <w:tc>
          <w:tcPr>
            <w:tcW w:type="dxa" w:w="36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TotalCharges</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29.85</w:t>
            </w:r>
          </w:p>
        </w:tc>
        <w:tc>
          <w:tcPr>
            <w:tcW w:type="dxa" w:w="28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0.0013</w:t>
            </w:r>
          </w:p>
        </w:tc>
      </w:tr>
    </w:tbl>
    <w:p>
      <w:pPr>
        <w:spacing w:after="40"/>
      </w:pPr>
    </w:p>
    <w:p>
      <w:pPr>
        <w:pStyle w:val="Heading2"/>
      </w:pPr>
      <w:r>
        <w:t>1.3 Exploratory data analysis</w:t>
      </w:r>
    </w:p>
    <w:p>
      <w:r>
        <w:t>Tenure is binned into five bands. Encoding mappings and bin counts are saved. Pearson coefficients are calculated for numeric features and the binary target. Cramer's V measures categorical association without assuming an ordering between category codes. Random Forest exploratory importance is aggregated from one-hot category levels, using each original numeric feature once.</w:t>
      </w:r>
    </w:p>
    <w:tbl>
      <w:tblPr>
        <w:tblW w:type="auto" w:w="0"/>
        <w:jc w:val="center"/>
        <w:tblLayout w:type="fixed"/>
        <w:tblLook w:firstColumn="1" w:firstRow="1" w:lastColumn="0" w:lastRow="0" w:noHBand="0" w:noVBand="1" w:val="04A0"/>
      </w:tblPr>
      <w:tblGrid>
        <w:gridCol w:w="5040"/>
        <w:gridCol w:w="4320"/>
      </w:tblGrid>
      <w:tr>
        <w:trPr>
          <w:tblHeader/>
          <w:cantSplit/>
        </w:trPr>
        <w:tc>
          <w:tcPr>
            <w:tcW w:type="dxa" w:w="504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Categorical feature</w:t>
            </w:r>
          </w:p>
        </w:tc>
        <w:tc>
          <w:tcPr>
            <w:tcW w:type="dxa" w:w="4320"/>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Association with churn</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Contract</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0.410</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OnlineSecurity</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0.347</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TechSupport</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0.343</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tenure_group</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0.341</w:t>
            </w:r>
          </w:p>
        </w:tc>
      </w:tr>
      <w:tr>
        <w:trPr>
          <w:cantSplit/>
        </w:trPr>
        <w:tc>
          <w:tcPr>
            <w:tcW w:type="dxa" w:w="50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InternetService</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0.322</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PaymentMethod</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0.303</w:t>
            </w:r>
          </w:p>
        </w:tc>
      </w:tr>
    </w:tbl>
    <w:p>
      <w:pPr>
        <w:spacing w:after="40"/>
      </w:pPr>
    </w:p>
    <w:p>
      <w:pPr>
        <w:keepNext/>
        <w:jc w:val="center"/>
      </w:pPr>
      <w:r>
        <w:drawing>
          <wp:inline xmlns:a="http://schemas.openxmlformats.org/drawingml/2006/main" xmlns:pic="http://schemas.openxmlformats.org/drawingml/2006/picture">
            <wp:extent cx="5029200" cy="431620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029200" cy="4316200"/>
                    </a:xfrm>
                    <a:prstGeom prst="rect"/>
                  </pic:spPr>
                </pic:pic>
              </a:graphicData>
            </a:graphic>
          </wp:inline>
        </w:drawing>
      </w:r>
    </w:p>
    <w:p>
      <w:pPr>
        <w:jc w:val="center"/>
      </w:pPr>
      <w:r>
        <w:rPr>
          <w:i/>
          <w:sz w:val="18"/>
        </w:rPr>
        <w:t>Figure 2 Numeric correlations</w:t>
      </w:r>
    </w:p>
    <w:p>
      <w:pPr>
        <w:keepNext/>
        <w:jc w:val="center"/>
      </w:pPr>
      <w:r>
        <w:drawing>
          <wp:inline xmlns:a="http://schemas.openxmlformats.org/drawingml/2006/main" xmlns:pic="http://schemas.openxmlformats.org/drawingml/2006/picture">
            <wp:extent cx="5029200" cy="331766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3317660"/>
                    </a:xfrm>
                    <a:prstGeom prst="rect"/>
                  </pic:spPr>
                </pic:pic>
              </a:graphicData>
            </a:graphic>
          </wp:inline>
        </w:drawing>
      </w:r>
    </w:p>
    <w:p>
      <w:pPr>
        <w:jc w:val="center"/>
      </w:pPr>
      <w:r>
        <w:rPr>
          <w:i/>
          <w:sz w:val="18"/>
        </w:rPr>
        <w:t>Figure 3 Exploratory feature importance</w:t>
      </w:r>
    </w:p>
    <w:p>
      <w:pPr>
        <w:keepNext/>
        <w:jc w:val="center"/>
      </w:pPr>
      <w:r>
        <w:drawing>
          <wp:inline xmlns:a="http://schemas.openxmlformats.org/drawingml/2006/main" xmlns:pic="http://schemas.openxmlformats.org/drawingml/2006/picture">
            <wp:extent cx="5029200" cy="3313814"/>
            <wp:docPr id="4" name="Picture 4"/>
            <wp:cNvGraphicFramePr>
              <a:graphicFrameLocks noChangeAspect="1"/>
            </wp:cNvGraphicFramePr>
            <a:graphic>
              <a:graphicData uri="http://schemas.openxmlformats.org/drawingml/2006/picture">
                <pic:pic>
                  <pic:nvPicPr>
                    <pic:cNvPr id="0" name="univariate_tenure_histogram.png"/>
                    <pic:cNvPicPr/>
                  </pic:nvPicPr>
                  <pic:blipFill>
                    <a:blip r:embed="rId12"/>
                    <a:stretch>
                      <a:fillRect/>
                    </a:stretch>
                  </pic:blipFill>
                  <pic:spPr>
                    <a:xfrm>
                      <a:off x="0" y="0"/>
                      <a:ext cx="5029200" cy="3313814"/>
                    </a:xfrm>
                    <a:prstGeom prst="rect"/>
                  </pic:spPr>
                </pic:pic>
              </a:graphicData>
            </a:graphic>
          </wp:inline>
        </w:drawing>
      </w:r>
    </w:p>
    <w:p>
      <w:pPr>
        <w:jc w:val="center"/>
      </w:pPr>
      <w:r>
        <w:rPr>
          <w:i/>
          <w:sz w:val="18"/>
        </w:rPr>
        <w:t>Figure 4 Univariate tenure distribution</w:t>
      </w:r>
    </w:p>
    <w:p>
      <w:pPr>
        <w:keepNext/>
        <w:jc w:val="center"/>
      </w:pPr>
      <w:r>
        <w:drawing>
          <wp:inline xmlns:a="http://schemas.openxmlformats.org/drawingml/2006/main" xmlns:pic="http://schemas.openxmlformats.org/drawingml/2006/picture">
            <wp:extent cx="5029200" cy="3197372"/>
            <wp:docPr id="5" name="Picture 5"/>
            <wp:cNvGraphicFramePr>
              <a:graphicFrameLocks noChangeAspect="1"/>
            </wp:cNvGraphicFramePr>
            <a:graphic>
              <a:graphicData uri="http://schemas.openxmlformats.org/drawingml/2006/picture">
                <pic:pic>
                  <pic:nvPicPr>
                    <pic:cNvPr id="0" name="bivariate_churn_by_contract.png"/>
                    <pic:cNvPicPr/>
                  </pic:nvPicPr>
                  <pic:blipFill>
                    <a:blip r:embed="rId13"/>
                    <a:stretch>
                      <a:fillRect/>
                    </a:stretch>
                  </pic:blipFill>
                  <pic:spPr>
                    <a:xfrm>
                      <a:off x="0" y="0"/>
                      <a:ext cx="5029200" cy="3197372"/>
                    </a:xfrm>
                    <a:prstGeom prst="rect"/>
                  </pic:spPr>
                </pic:pic>
              </a:graphicData>
            </a:graphic>
          </wp:inline>
        </w:drawing>
      </w:r>
    </w:p>
    <w:p>
      <w:pPr>
        <w:jc w:val="center"/>
      </w:pPr>
      <w:r>
        <w:rPr>
          <w:i/>
          <w:sz w:val="18"/>
        </w:rPr>
        <w:t>Figure 5 Churn rate by contract</w:t>
      </w:r>
    </w:p>
    <w:p>
      <w:pPr>
        <w:keepNext/>
        <w:jc w:val="center"/>
      </w:pPr>
      <w:r>
        <w:drawing>
          <wp:inline xmlns:a="http://schemas.openxmlformats.org/drawingml/2006/main" xmlns:pic="http://schemas.openxmlformats.org/drawingml/2006/picture">
            <wp:extent cx="5029200" cy="3197372"/>
            <wp:docPr id="6" name="Picture 6"/>
            <wp:cNvGraphicFramePr>
              <a:graphicFrameLocks noChangeAspect="1"/>
            </wp:cNvGraphicFramePr>
            <a:graphic>
              <a:graphicData uri="http://schemas.openxmlformats.org/drawingml/2006/picture">
                <pic:pic>
                  <pic:nvPicPr>
                    <pic:cNvPr id="0" name="bivariate_charges_by_churn.png"/>
                    <pic:cNvPicPr/>
                  </pic:nvPicPr>
                  <pic:blipFill>
                    <a:blip r:embed="rId14"/>
                    <a:stretch>
                      <a:fillRect/>
                    </a:stretch>
                  </pic:blipFill>
                  <pic:spPr>
                    <a:xfrm>
                      <a:off x="0" y="0"/>
                      <a:ext cx="5029200" cy="3197372"/>
                    </a:xfrm>
                    <a:prstGeom prst="rect"/>
                  </pic:spPr>
                </pic:pic>
              </a:graphicData>
            </a:graphic>
          </wp:inline>
        </w:drawing>
      </w:r>
    </w:p>
    <w:p>
      <w:pPr>
        <w:jc w:val="center"/>
      </w:pPr>
      <w:r>
        <w:rPr>
          <w:i/>
          <w:sz w:val="18"/>
        </w:rPr>
        <w:t>Figure 6 Charges by churn outcome</w:t>
      </w:r>
    </w:p>
    <w:p>
      <w:pPr>
        <w:pStyle w:val="Heading2"/>
      </w:pPr>
      <w:r>
        <w:t>1.4 DataOps scheduling and monitoring</w:t>
      </w:r>
    </w:p>
    <w:p>
      <w:r>
        <w:t>One deployment runs every 120 seconds with concurrency limited to one cycle. DataOps completes before MLOps starts. Complete files are published by atomic replacement, and cross-process locks protect appended logs. Every task records its activity in the Prefect dashboard and JSONL logs; result tables are also available as Prefect artifacts.</w:t>
      </w:r>
    </w:p>
    <w:p>
      <w:pPr>
        <w:keepNext/>
        <w:jc w:val="center"/>
      </w:pPr>
      <w:r>
        <w:drawing>
          <wp:inline xmlns:a="http://schemas.openxmlformats.org/drawingml/2006/main" xmlns:pic="http://schemas.openxmlformats.org/drawingml/2006/picture">
            <wp:extent cx="5669280" cy="2180492"/>
            <wp:docPr id="7" name="Picture 7"/>
            <wp:cNvGraphicFramePr>
              <a:graphicFrameLocks noChangeAspect="1"/>
            </wp:cNvGraphicFramePr>
            <a:graphic>
              <a:graphicData uri="http://schemas.openxmlformats.org/drawingml/2006/picture">
                <pic:pic>
                  <pic:nvPicPr>
                    <pic:cNvPr id="0" name="03_deployments.png"/>
                    <pic:cNvPicPr/>
                  </pic:nvPicPr>
                  <pic:blipFill>
                    <a:blip r:embed="rId15"/>
                    <a:stretch>
                      <a:fillRect/>
                    </a:stretch>
                  </pic:blipFill>
                  <pic:spPr>
                    <a:xfrm>
                      <a:off x="0" y="0"/>
                      <a:ext cx="5669280" cy="2180492"/>
                    </a:xfrm>
                    <a:prstGeom prst="rect"/>
                  </pic:spPr>
                </pic:pic>
              </a:graphicData>
            </a:graphic>
          </wp:inline>
        </w:drawing>
      </w:r>
    </w:p>
    <w:p>
      <w:pPr>
        <w:jc w:val="center"/>
      </w:pPr>
      <w:r>
        <w:rPr>
          <w:i/>
          <w:sz w:val="18"/>
        </w:rPr>
        <w:t>Figure 7 Deployment interval and status</w:t>
      </w:r>
    </w:p>
    <w:p>
      <w:pPr>
        <w:keepNext/>
        <w:jc w:val="center"/>
      </w:pPr>
      <w:r>
        <w:drawing>
          <wp:inline xmlns:a="http://schemas.openxmlformats.org/drawingml/2006/main" xmlns:pic="http://schemas.openxmlformats.org/drawingml/2006/picture">
            <wp:extent cx="5669280" cy="5178669"/>
            <wp:docPr id="8" name="Picture 8"/>
            <wp:cNvGraphicFramePr>
              <a:graphicFrameLocks noChangeAspect="1"/>
            </wp:cNvGraphicFramePr>
            <a:graphic>
              <a:graphicData uri="http://schemas.openxmlformats.org/drawingml/2006/picture">
                <pic:pic>
                  <pic:nvPicPr>
                    <pic:cNvPr id="0" name="02_flow_runs.png"/>
                    <pic:cNvPicPr/>
                  </pic:nvPicPr>
                  <pic:blipFill>
                    <a:blip r:embed="rId16"/>
                    <a:stretch>
                      <a:fillRect/>
                    </a:stretch>
                  </pic:blipFill>
                  <pic:spPr>
                    <a:xfrm>
                      <a:off x="0" y="0"/>
                      <a:ext cx="5669280" cy="5178669"/>
                    </a:xfrm>
                    <a:prstGeom prst="rect"/>
                  </pic:spPr>
                </pic:pic>
              </a:graphicData>
            </a:graphic>
          </wp:inline>
        </w:drawing>
      </w:r>
    </w:p>
    <w:p>
      <w:pPr>
        <w:jc w:val="center"/>
      </w:pPr>
      <w:r>
        <w:rPr>
          <w:i/>
          <w:sz w:val="18"/>
        </w:rPr>
        <w:t>Figure 8 Scheduled execution history</w:t>
      </w:r>
    </w:p>
    <w:p>
      <w:pPr>
        <w:keepNext/>
        <w:jc w:val="center"/>
      </w:pPr>
      <w:r>
        <w:drawing>
          <wp:inline xmlns:a="http://schemas.openxmlformats.org/drawingml/2006/main" xmlns:pic="http://schemas.openxmlformats.org/drawingml/2006/picture">
            <wp:extent cx="5669280" cy="5178669"/>
            <wp:docPr id="9" name="Picture 9"/>
            <wp:cNvGraphicFramePr>
              <a:graphicFrameLocks noChangeAspect="1"/>
            </wp:cNvGraphicFramePr>
            <a:graphic>
              <a:graphicData uri="http://schemas.openxmlformats.org/drawingml/2006/picture">
                <pic:pic>
                  <pic:nvPicPr>
                    <pic:cNvPr id="0" name="06_data_run_logs.png"/>
                    <pic:cNvPicPr/>
                  </pic:nvPicPr>
                  <pic:blipFill>
                    <a:blip r:embed="rId17"/>
                    <a:stretch>
                      <a:fillRect/>
                    </a:stretch>
                  </pic:blipFill>
                  <pic:spPr>
                    <a:xfrm>
                      <a:off x="0" y="0"/>
                      <a:ext cx="5669280" cy="5178669"/>
                    </a:xfrm>
                    <a:prstGeom prst="rect"/>
                  </pic:spPr>
                </pic:pic>
              </a:graphicData>
            </a:graphic>
          </wp:inline>
        </w:drawing>
      </w:r>
    </w:p>
    <w:p>
      <w:pPr>
        <w:jc w:val="center"/>
      </w:pPr>
      <w:r>
        <w:rPr>
          <w:i/>
          <w:sz w:val="18"/>
        </w:rPr>
        <w:t>Figure 9 Data preparation activity logs</w:t>
      </w:r>
    </w:p>
    <w:p>
      <w:pPr>
        <w:pStyle w:val="Heading1"/>
      </w:pPr>
      <w:r>
        <w:t>2 Machine learning pipeline</w:t>
      </w:r>
    </w:p>
    <w:p>
      <w:pPr>
        <w:pStyle w:val="Heading2"/>
      </w:pPr>
      <w:r>
        <w:t>2.1 Preparation training and evaluation</w:t>
      </w:r>
    </w:p>
    <w:p>
      <w:r>
        <w:t>Logistic Regression provides a linear baseline; Random Forest captures non-linear relationships. A stratified 70/30 split produces 4930 training records and 2113 test records. Each model contains its own fitted preprocessing pipeline: numeric median imputation and standardisation, plus categorical imputation and one-hot encoding. All fitted parameters are learned from training records. Test records are transformed without refitting.</w:t>
      </w:r>
    </w:p>
    <w:tbl>
      <w:tblPr>
        <w:tblW w:type="auto" w:w="0"/>
        <w:jc w:val="center"/>
        <w:tblLayout w:type="fixed"/>
        <w:tblLook w:firstColumn="1" w:firstRow="1" w:lastColumn="0" w:lastRow="0" w:noHBand="0" w:noVBand="1" w:val="04A0"/>
      </w:tblPr>
      <w:tblGrid>
        <w:gridCol w:w="2304"/>
        <w:gridCol w:w="1411"/>
        <w:gridCol w:w="1411"/>
        <w:gridCol w:w="1411"/>
        <w:gridCol w:w="1411"/>
        <w:gridCol w:w="1411"/>
      </w:tblGrid>
      <w:tr>
        <w:trPr>
          <w:tblHeader/>
          <w:cantSplit/>
        </w:trPr>
        <w:tc>
          <w:tcPr>
            <w:tcW w:type="dxa" w:w="2304"/>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Model</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Accuracy</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Precision</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Recall</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F1</w:t>
            </w:r>
          </w:p>
        </w:tc>
        <w:tc>
          <w:tcPr>
            <w:tcW w:type="dxa" w:w="1411"/>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ROC AUC</w:t>
            </w:r>
          </w:p>
        </w:tc>
      </w:tr>
      <w:tr>
        <w:trPr>
          <w:cantSplit/>
        </w:trPr>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LogisticRegression</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0.7970</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0.6435</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0.5276</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0.5798</w:t>
            </w:r>
          </w:p>
        </w:tc>
        <w:tc>
          <w:tcPr>
            <w:tcW w:type="dxa" w:w="141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0.8403</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RandomForest</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0.7851</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0.6230</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0.4831</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0.5442</w:t>
            </w:r>
          </w:p>
        </w:tc>
        <w:tc>
          <w:tcPr>
            <w:tcW w:type="dxa" w:w="141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0.8182</w:t>
            </w:r>
          </w:p>
        </w:tc>
      </w:tr>
    </w:tbl>
    <w:p>
      <w:pPr>
        <w:spacing w:after="40"/>
      </w:pPr>
    </w:p>
    <w:p>
      <w:pPr>
        <w:keepNext/>
        <w:jc w:val="center"/>
      </w:pPr>
      <w:r>
        <w:drawing>
          <wp:inline xmlns:a="http://schemas.openxmlformats.org/drawingml/2006/main" xmlns:pic="http://schemas.openxmlformats.org/drawingml/2006/picture">
            <wp:extent cx="5669280" cy="3110836"/>
            <wp:docPr id="10" name="Picture 10"/>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5669280" cy="3110836"/>
                    </a:xfrm>
                    <a:prstGeom prst="rect"/>
                  </pic:spPr>
                </pic:pic>
              </a:graphicData>
            </a:graphic>
          </wp:inline>
        </w:drawing>
      </w:r>
    </w:p>
    <w:p>
      <w:pPr>
        <w:jc w:val="center"/>
      </w:pPr>
      <w:r>
        <w:rPr>
          <w:i/>
          <w:sz w:val="18"/>
        </w:rPr>
        <w:t>Figure 10 Five metrics for each model</w:t>
      </w:r>
    </w:p>
    <w:p>
      <w:pPr>
        <w:keepNext/>
        <w:jc w:val="center"/>
      </w:pPr>
      <w:r>
        <w:drawing>
          <wp:inline xmlns:a="http://schemas.openxmlformats.org/drawingml/2006/main" xmlns:pic="http://schemas.openxmlformats.org/drawingml/2006/picture">
            <wp:extent cx="5669280" cy="2813553"/>
            <wp:docPr id="11" name="Picture 11"/>
            <wp:cNvGraphicFramePr>
              <a:graphicFrameLocks noChangeAspect="1"/>
            </wp:cNvGraphicFramePr>
            <a:graphic>
              <a:graphicData uri="http://schemas.openxmlformats.org/drawingml/2006/picture">
                <pic:pic>
                  <pic:nvPicPr>
                    <pic:cNvPr id="0" name="confusion_matrices.png"/>
                    <pic:cNvPicPr/>
                  </pic:nvPicPr>
                  <pic:blipFill>
                    <a:blip r:embed="rId19"/>
                    <a:stretch>
                      <a:fillRect/>
                    </a:stretch>
                  </pic:blipFill>
                  <pic:spPr>
                    <a:xfrm>
                      <a:off x="0" y="0"/>
                      <a:ext cx="5669280" cy="2813553"/>
                    </a:xfrm>
                    <a:prstGeom prst="rect"/>
                  </pic:spPr>
                </pic:pic>
              </a:graphicData>
            </a:graphic>
          </wp:inline>
        </w:drawing>
      </w:r>
    </w:p>
    <w:p>
      <w:pPr>
        <w:jc w:val="center"/>
      </w:pPr>
      <w:r>
        <w:rPr>
          <w:i/>
          <w:sz w:val="18"/>
        </w:rPr>
        <w:t>Figure 11 Holdout confusion matrices</w:t>
      </w:r>
    </w:p>
    <w:p>
      <w:pPr>
        <w:pStyle w:val="Heading2"/>
      </w:pPr>
      <w:r>
        <w:t>2.2 MLOps and interpretation</w:t>
      </w:r>
    </w:p>
    <w:p>
      <w:r>
        <w:t>Every cycle records accuracy, precision, recall, F1 and ROC AUC for both models. The metrics history records timestamps, pipeline version and source fingerprint. Repeating evaluation on this fixed dataset demonstrates monitoring and logging; it does not establish drift detection or performance on a changing production population. Recall measures the proportion of actual churners identified, while precision measures how many flagged customers churn.</w:t>
      </w:r>
    </w:p>
    <w:p>
      <w:pPr>
        <w:keepNext/>
        <w:jc w:val="center"/>
      </w:pPr>
      <w:r>
        <w:drawing>
          <wp:inline xmlns:a="http://schemas.openxmlformats.org/drawingml/2006/main" xmlns:pic="http://schemas.openxmlformats.org/drawingml/2006/picture">
            <wp:extent cx="5669280" cy="5178669"/>
            <wp:docPr id="12" name="Picture 12"/>
            <wp:cNvGraphicFramePr>
              <a:graphicFrameLocks noChangeAspect="1"/>
            </wp:cNvGraphicFramePr>
            <a:graphic>
              <a:graphicData uri="http://schemas.openxmlformats.org/drawingml/2006/picture">
                <pic:pic>
                  <pic:nvPicPr>
                    <pic:cNvPr id="0" name="05_ml_run_logs.png"/>
                    <pic:cNvPicPr/>
                  </pic:nvPicPr>
                  <pic:blipFill>
                    <a:blip r:embed="rId20"/>
                    <a:stretch>
                      <a:fillRect/>
                    </a:stretch>
                  </pic:blipFill>
                  <pic:spPr>
                    <a:xfrm>
                      <a:off x="0" y="0"/>
                      <a:ext cx="5669280" cy="5178669"/>
                    </a:xfrm>
                    <a:prstGeom prst="rect"/>
                  </pic:spPr>
                </pic:pic>
              </a:graphicData>
            </a:graphic>
          </wp:inline>
        </w:drawing>
      </w:r>
    </w:p>
    <w:p>
      <w:pPr>
        <w:jc w:val="center"/>
      </w:pPr>
      <w:r>
        <w:rPr>
          <w:i/>
          <w:sz w:val="18"/>
        </w:rPr>
        <w:t>Figure 12 ML task logs and metrics</w:t>
      </w:r>
    </w:p>
    <w:p>
      <w:pPr>
        <w:pStyle w:val="Heading1"/>
      </w:pPr>
      <w:r>
        <w:t>3 API access</w:t>
      </w:r>
    </w:p>
    <w:p>
      <w:r>
        <w:t>The official Prefect client retrieves details through built-in APIs. Project filters keep unrelated flows out of the evidence. The saved response contains registered flows, deployment schedules and concurrency, recent run states, start times and durations. Aggregate statistics describe a bounded sample of up to 200 project runs and include child flows.</w:t>
      </w:r>
    </w:p>
    <w:tbl>
      <w:tblPr>
        <w:tblW w:type="auto" w:w="0"/>
        <w:jc w:val="center"/>
        <w:tblLayout w:type="fixed"/>
        <w:tblLook w:firstColumn="1" w:firstRow="1" w:lastColumn="0" w:lastRow="0" w:noHBand="0" w:noVBand="1" w:val="04A0"/>
      </w:tblPr>
      <w:tblGrid>
        <w:gridCol w:w="2448"/>
        <w:gridCol w:w="6912"/>
      </w:tblGrid>
      <w:tr>
        <w:trPr>
          <w:tblHeader/>
          <w:cantSplit/>
        </w:trPr>
        <w:tc>
          <w:tcPr>
            <w:tcW w:type="dxa" w:w="2448"/>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Detail</w:t>
            </w:r>
          </w:p>
        </w:tc>
        <w:tc>
          <w:tcPr>
            <w:tcW w:type="dxa" w:w="6912"/>
            <w:vAlign w:val="center"/>
            <w:tcBorders>
              <w:top w:val="single" w:sz="4" w:color="D9D9D9"/>
              <w:left w:val="single" w:sz="4" w:color="D9D9D9"/>
              <w:bottom w:val="single" w:sz="4" w:color="D9D9D9"/>
              <w:right w:val="single" w:sz="4" w:color="D9D9D9"/>
            </w:tcBorders>
            <w:shd w:fill="243746"/>
            <w:tcMar>
              <w:top w:w="85" w:type="dxa"/>
              <w:left w:w="85" w:type="dxa"/>
              <w:bottom w:w="85" w:type="dxa"/>
              <w:right w:w="85" w:type="dxa"/>
            </w:tcMar>
          </w:tcPr>
          <w:p>
            <w:pPr>
              <w:keepNext/>
              <w:spacing w:after="60" w:before="60"/>
            </w:pPr>
            <w:r>
              <w:rPr>
                <w:b/>
                <w:color w:val="FFFFFF"/>
                <w:sz w:val="18"/>
              </w:rPr>
              <w:t>Retrieved value</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Retrieved at</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2026-10-25T08:57:37.903292+00:00</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Project flows</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telco-assignment-workflow, telco-data-pipeline, telco-ml-pipeline</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Deployments</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telco-assignment-every-2min</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Recent executed runs</w:t>
            </w:r>
          </w:p>
        </w:tc>
        <w:tc>
          <w:tcPr>
            <w:tcW w:type="dxa" w:w="69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before="60"/>
            </w:pPr>
            <w:r>
              <w:rPr>
                <w:sz w:val="18"/>
              </w:rPr>
              <w:t>20</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Sampled run states</w:t>
            </w:r>
          </w:p>
        </w:tc>
        <w:tc>
          <w:tcPr>
            <w:tcW w:type="dxa" w:w="691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60" w:before="60"/>
            </w:pPr>
            <w:r>
              <w:rPr>
                <w:sz w:val="18"/>
              </w:rPr>
              <w:t>{'Completed': 18, 'Failed': 2, 'Scheduled': 30}</w:t>
            </w:r>
          </w:p>
        </w:tc>
      </w:tr>
    </w:tbl>
    <w:p>
      <w:pPr>
        <w:spacing w:after="40"/>
      </w:pPr>
    </w:p>
    <w:p>
      <w:pPr>
        <w:keepNext/>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1_dashboard.png"/>
                    <pic:cNvPicPr/>
                  </pic:nvPicPr>
                  <pic:blipFill>
                    <a:blip r:embed="rId21"/>
                    <a:stretch>
                      <a:fillRect/>
                    </a:stretch>
                  </pic:blipFill>
                  <pic:spPr>
                    <a:xfrm>
                      <a:off x="0" y="0"/>
                      <a:ext cx="5669280" cy="3543300"/>
                    </a:xfrm>
                    <a:prstGeom prst="rect"/>
                  </pic:spPr>
                </pic:pic>
              </a:graphicData>
            </a:graphic>
          </wp:inline>
        </w:drawing>
      </w:r>
    </w:p>
    <w:p>
      <w:pPr>
        <w:jc w:val="center"/>
      </w:pPr>
      <w:r>
        <w:rPr>
          <w:i/>
          <w:sz w:val="18"/>
        </w:rPr>
        <w:t>Figure 13 Dashboard overview</w:t>
      </w:r>
    </w:p>
    <w:p>
      <w:pPr>
        <w:pStyle w:val="Heading1"/>
      </w:pPr>
      <w:r>
        <w:t>4 Reproduction and demonstration</w:t>
      </w:r>
    </w:p>
    <w:p>
      <w:r>
        <w:t>Follow README.md for the tested Python 3.12 setup, local server and scheduled workflow. The local dashboard is at http://127.0.0.1:4207. Run python -m src.api_access to capture current API details. The Docker Compose package provides the same server and runner arrangement for local or cloud VM execution; selecting cloud configuration alone is not proof of deployment.</w:t>
      </w:r>
    </w:p>
    <w:p>
      <w:r>
        <w:t>Dataset SHA256: 16320c9c1ec72448db59aa0a26a0b95401046bef5d02fd3aeb906448e3055e91</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