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pacing w:val="36"/>
          <w:sz w:val="36"/>
          <w:szCs w:val="24"/>
          <w:lang w:val="en-GB"/>
        </w:rPr>
      </w:pPr>
      <w:r>
        <mc:AlternateContent>
          <mc:Choice Requires="wps">
            <w:drawing>
              <wp:anchor behindDoc="1" distT="0" distB="0" distL="114300" distR="114300" simplePos="0" locked="0" layoutInCell="1" allowOverlap="1" relativeHeight="2">
                <wp:simplePos x="0" y="0"/>
                <wp:positionH relativeFrom="column">
                  <wp:posOffset>-59690</wp:posOffset>
                </wp:positionH>
                <wp:positionV relativeFrom="paragraph">
                  <wp:posOffset>-6350</wp:posOffset>
                </wp:positionV>
                <wp:extent cx="5550535" cy="1270"/>
                <wp:effectExtent l="0" t="0" r="0" b="0"/>
                <wp:wrapNone/>
                <wp:docPr id="1" name=""/>
                <a:graphic xmlns:a="http://schemas.openxmlformats.org/drawingml/2006/main">
                  <a:graphicData uri="http://schemas.microsoft.com/office/word/2010/wordprocessingShape">
                    <wps:wsp>
                      <wps:cNvSpPr/>
                      <wps:spPr>
                        <a:xfrm>
                          <a:off x="0" y="0"/>
                          <a:ext cx="554976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7pt;margin-top:-0.5pt;width:436.95pt;height:0pt" type="shapetype_32">
                <w10:wrap type="none"/>
                <v:fill o:detectmouseclick="t" on="false"/>
                <v:stroke color="black" joinstyle="round" endcap="flat"/>
              </v:shape>
            </w:pict>
          </mc:Fallback>
        </mc:AlternateContent>
      </w:r>
      <w:r>
        <w:rPr/>
        <w:drawing>
          <wp:inline distT="0" distB="0" distL="0" distR="0">
            <wp:extent cx="1752600" cy="561975"/>
            <wp:effectExtent l="0" t="0" r="0" b="0"/>
            <wp:docPr id="2"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cid:FF0C5DD7075E7D43BCF4E4A2C0F6F5C8@ec.europa.eu"/>
                    <pic:cNvPicPr>
                      <a:picLocks noChangeAspect="1" noChangeArrowheads="1"/>
                    </pic:cNvPicPr>
                  </pic:nvPicPr>
                  <pic:blipFill>
                    <a:blip r:embed="rId2"/>
                    <a:stretch>
                      <a:fillRect/>
                    </a:stretch>
                  </pic:blipFill>
                  <pic:spPr bwMode="auto">
                    <a:xfrm>
                      <a:off x="0" y="0"/>
                      <a:ext cx="1752600" cy="561975"/>
                    </a:xfrm>
                    <a:prstGeom prst="rect">
                      <a:avLst/>
                    </a:prstGeom>
                  </pic:spPr>
                </pic:pic>
              </a:graphicData>
            </a:graphic>
          </wp:inline>
        </w:drawing>
      </w:r>
      <w:r>
        <w:rPr>
          <w:b/>
          <w:spacing w:val="36"/>
          <w:sz w:val="36"/>
          <w:szCs w:val="24"/>
          <w:lang w:val="en-GB" w:eastAsia="nl-NL"/>
        </w:rPr>
        <w:t xml:space="preserve">    </w:t>
      </w:r>
      <w:r>
        <w:rPr>
          <w:b/>
          <w:spacing w:val="36"/>
          <w:sz w:val="36"/>
          <w:szCs w:val="24"/>
          <w:lang w:val="en-GB" w:eastAsia="nl-NL"/>
        </w:rPr>
        <w:drawing>
          <wp:inline distT="0" distB="0" distL="19050" distR="0">
            <wp:extent cx="785495" cy="1045845"/>
            <wp:effectExtent l="0" t="0" r="0" b="0"/>
            <wp:docPr id="3" name="Picture 1" descr="I3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3S logo"/>
                    <pic:cNvPicPr>
                      <a:picLocks noChangeAspect="1" noChangeArrowheads="1"/>
                    </pic:cNvPicPr>
                  </pic:nvPicPr>
                  <pic:blipFill>
                    <a:blip r:embed="rId3"/>
                    <a:stretch>
                      <a:fillRect/>
                    </a:stretch>
                  </pic:blipFill>
                  <pic:spPr bwMode="auto">
                    <a:xfrm>
                      <a:off x="0" y="0"/>
                      <a:ext cx="785495" cy="1045845"/>
                    </a:xfrm>
                    <a:prstGeom prst="rect">
                      <a:avLst/>
                    </a:prstGeom>
                  </pic:spPr>
                </pic:pic>
              </a:graphicData>
            </a:graphic>
          </wp:inline>
        </w:drawing>
      </w:r>
      <w:r>
        <w:rPr>
          <w:b/>
          <w:spacing w:val="36"/>
          <w:sz w:val="36"/>
          <w:szCs w:val="24"/>
          <w:lang w:val="en-GB" w:eastAsia="nl-NL"/>
        </w:rPr>
        <w:t xml:space="preserve">    </w:t>
      </w:r>
      <w:r>
        <w:rPr>
          <w:b/>
          <w:spacing w:val="36"/>
          <w:sz w:val="36"/>
          <w:szCs w:val="24"/>
          <w:lang w:val="en-GB" w:eastAsia="nl-NL"/>
        </w:rPr>
        <w:drawing>
          <wp:inline distT="0" distB="0" distL="19050" distR="0">
            <wp:extent cx="2211705" cy="771525"/>
            <wp:effectExtent l="0" t="0" r="0" b="0"/>
            <wp:docPr id="4" name="Picture 3" descr="Logo_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principal"/>
                    <pic:cNvPicPr>
                      <a:picLocks noChangeAspect="1" noChangeArrowheads="1"/>
                    </pic:cNvPicPr>
                  </pic:nvPicPr>
                  <pic:blipFill>
                    <a:blip r:embed="rId4"/>
                    <a:stretch>
                      <a:fillRect/>
                    </a:stretch>
                  </pic:blipFill>
                  <pic:spPr bwMode="auto">
                    <a:xfrm>
                      <a:off x="0" y="0"/>
                      <a:ext cx="2211705" cy="771525"/>
                    </a:xfrm>
                    <a:prstGeom prst="rect">
                      <a:avLst/>
                    </a:prstGeom>
                  </pic:spPr>
                </pic:pic>
              </a:graphicData>
            </a:graphic>
          </wp:inline>
        </w:drawing>
      </w:r>
    </w:p>
    <w:p>
      <w:pPr>
        <w:pStyle w:val="Normal"/>
        <w:rPr>
          <w:b/>
          <w:b/>
          <w:spacing w:val="36"/>
          <w:sz w:val="36"/>
          <w:szCs w:val="24"/>
          <w:lang w:val="en-GB"/>
        </w:rPr>
      </w:pPr>
      <w:r>
        <w:rPr>
          <w:b/>
          <w:spacing w:val="36"/>
          <w:sz w:val="36"/>
          <w:szCs w:val="24"/>
          <w:lang w:val="en-GB"/>
        </w:rPr>
      </w:r>
    </w:p>
    <w:p>
      <w:pPr>
        <w:pStyle w:val="Normal"/>
        <w:rPr>
          <w:b/>
          <w:b/>
          <w:spacing w:val="36"/>
          <w:sz w:val="36"/>
          <w:szCs w:val="24"/>
          <w:lang w:val="en-GB"/>
        </w:rPr>
      </w:pPr>
      <w:r>
        <w:rPr>
          <w:b/>
          <w:spacing w:val="36"/>
          <w:sz w:val="36"/>
          <w:szCs w:val="24"/>
          <w:lang w:val="en-GB"/>
        </w:rPr>
      </w:r>
    </w:p>
    <w:p>
      <w:pPr>
        <w:pStyle w:val="Normal"/>
        <w:jc w:val="center"/>
        <w:rPr>
          <w:b/>
          <w:b/>
          <w:spacing w:val="36"/>
          <w:sz w:val="36"/>
          <w:szCs w:val="24"/>
          <w:lang w:val="en-GB"/>
        </w:rPr>
      </w:pPr>
      <w:r>
        <w:rPr>
          <w:b/>
          <w:spacing w:val="36"/>
          <w:sz w:val="36"/>
          <w:szCs w:val="24"/>
          <w:lang w:val="en-GB"/>
        </w:rPr>
        <w:t xml:space="preserve">ESSnet </w:t>
      </w:r>
      <w:r>
        <w:rPr>
          <w:b/>
          <w:spacing w:val="36"/>
          <w:sz w:val="32"/>
          <w:szCs w:val="32"/>
          <w:lang w:val="en-GB"/>
        </w:rPr>
        <w:t>Implementing Shared Statistical Services</w:t>
      </w:r>
    </w:p>
    <w:p>
      <w:pPr>
        <w:pStyle w:val="Normal"/>
        <w:spacing w:lineRule="auto" w:line="240" w:before="0" w:after="0"/>
        <w:jc w:val="center"/>
        <w:rPr>
          <w:b/>
          <w:b/>
          <w:spacing w:val="36"/>
          <w:sz w:val="28"/>
          <w:szCs w:val="24"/>
          <w:lang w:val="en-GB"/>
        </w:rPr>
      </w:pPr>
      <w:r>
        <w:rPr>
          <w:b/>
          <w:spacing w:val="36"/>
          <w:sz w:val="28"/>
          <w:szCs w:val="24"/>
          <w:lang w:val="en-GB"/>
        </w:rPr>
        <w:t xml:space="preserve">Grant </w:t>
      </w:r>
      <w:r>
        <w:rPr>
          <w:b/>
          <w:spacing w:val="36"/>
          <w:sz w:val="28"/>
          <w:szCs w:val="28"/>
          <w:lang w:val="en-GB"/>
        </w:rPr>
        <w:t>Agreement 566-831733-2018-FR-ESSnet-SERV2</w:t>
      </w:r>
    </w:p>
    <w:p>
      <w:pPr>
        <w:pStyle w:val="Normal"/>
        <w:spacing w:lineRule="auto" w:line="240" w:before="0" w:after="0"/>
        <w:jc w:val="center"/>
        <w:rPr>
          <w:lang w:val="en-GB"/>
        </w:rPr>
      </w:pPr>
      <w:r>
        <w:rPr>
          <w:lang w:val="en-GB"/>
        </w:rPr>
      </w:r>
    </w:p>
    <w:p>
      <w:pPr>
        <w:pStyle w:val="Normal"/>
        <w:spacing w:lineRule="auto" w:line="240" w:before="0" w:after="0"/>
        <w:jc w:val="center"/>
        <w:rPr/>
      </w:pPr>
      <w:hyperlink r:id="rId5">
        <w:r>
          <w:rPr>
            <w:rStyle w:val="InternetLink"/>
            <w:rFonts w:cs="Calibri"/>
            <w:spacing w:val="36"/>
            <w:sz w:val="24"/>
            <w:szCs w:val="24"/>
            <w:lang w:val="en-GB"/>
          </w:rPr>
          <w:t>http://www.cros-portal.eu/</w:t>
        </w:r>
      </w:hyperlink>
    </w:p>
    <w:p>
      <w:pPr>
        <w:pStyle w:val="Normal"/>
        <w:spacing w:lineRule="auto" w:line="240" w:before="0" w:after="120"/>
        <w:jc w:val="center"/>
        <w:rPr>
          <w:rFonts w:cs="Calibri"/>
          <w:lang w:val="en-GB"/>
        </w:rPr>
      </w:pPr>
      <w:r>
        <w:rPr>
          <w:rFonts w:cs="Calibri"/>
          <w:lang w:val="en-GB"/>
        </w:rPr>
        <w:br/>
      </w:r>
    </w:p>
    <w:p>
      <w:pPr>
        <w:pStyle w:val="Normal"/>
        <w:spacing w:lineRule="auto" w:line="240" w:before="0" w:after="120"/>
        <w:jc w:val="center"/>
        <w:rPr>
          <w:rFonts w:cs="Calibri"/>
          <w:lang w:val="en-GB"/>
        </w:rPr>
      </w:pPr>
      <w:r>
        <w:rPr>
          <w:rFonts w:cs="Calibri"/>
          <w:lang w:val="en-GB"/>
        </w:rPr>
      </w:r>
    </w:p>
    <w:p>
      <w:pPr>
        <w:pStyle w:val="Normal"/>
        <w:spacing w:lineRule="auto" w:line="240" w:before="0" w:after="120"/>
        <w:jc w:val="center"/>
        <w:rPr>
          <w:sz w:val="24"/>
          <w:szCs w:val="24"/>
          <w:lang w:val="en-GB"/>
        </w:rPr>
      </w:pPr>
      <w:r>
        <w:rPr>
          <w:rFonts w:cs="Calibri"/>
          <w:lang w:val="en-GB"/>
        </w:rPr>
        <w:t xml:space="preserve">Grant Agreement Number </w:t>
      </w:r>
      <w:r>
        <w:rPr>
          <w:rFonts w:cs="Calibri"/>
          <w:b/>
          <w:lang w:val="en-GB"/>
        </w:rPr>
        <w:t>566 - 831733-2018-FR-ESSnet-SERV2</w:t>
      </w:r>
    </w:p>
    <w:p>
      <w:pPr>
        <w:pStyle w:val="Normal"/>
        <w:spacing w:lineRule="auto" w:line="240" w:before="0" w:after="120"/>
        <w:jc w:val="center"/>
        <w:rPr>
          <w:b/>
          <w:b/>
          <w:spacing w:val="36"/>
          <w:lang w:val="en-GB"/>
        </w:rPr>
      </w:pPr>
      <w:r>
        <w:rPr>
          <w:b/>
          <w:spacing w:val="36"/>
          <w:lang w:val="en-GB"/>
        </w:rPr>
      </w:r>
    </w:p>
    <w:p>
      <w:pPr>
        <w:pStyle w:val="Normal"/>
        <w:spacing w:lineRule="auto" w:line="240" w:before="0" w:after="120"/>
        <w:jc w:val="center"/>
        <w:rPr>
          <w:b/>
          <w:b/>
          <w:spacing w:val="36"/>
          <w:sz w:val="32"/>
          <w:szCs w:val="32"/>
          <w:lang w:val="en-GB"/>
        </w:rPr>
      </w:pPr>
      <w:r>
        <w:rPr>
          <w:b/>
          <w:spacing w:val="36"/>
          <w:sz w:val="32"/>
          <w:szCs w:val="32"/>
          <w:lang w:val="en-GB"/>
        </w:rPr>
        <w:t>I3S - Implementing Shared Statistical Services</w:t>
      </w:r>
    </w:p>
    <w:p>
      <w:pPr>
        <w:pStyle w:val="Normal"/>
        <w:spacing w:lineRule="auto" w:line="240" w:before="0" w:after="120"/>
        <w:jc w:val="center"/>
        <w:rPr>
          <w:b/>
          <w:b/>
          <w:spacing w:val="36"/>
          <w:sz w:val="32"/>
          <w:szCs w:val="32"/>
          <w:lang w:val="en-GB"/>
        </w:rPr>
      </w:pPr>
      <w:r>
        <w:rPr>
          <w:b/>
          <w:spacing w:val="36"/>
          <w:sz w:val="32"/>
          <w:szCs w:val="32"/>
          <w:lang w:val="en-GB"/>
        </w:rPr>
      </w:r>
    </w:p>
    <w:p>
      <w:pPr>
        <w:pStyle w:val="Normal"/>
        <w:spacing w:lineRule="auto" w:line="240" w:before="0" w:after="120"/>
        <w:jc w:val="center"/>
        <w:rPr>
          <w:b/>
          <w:b/>
          <w:spacing w:val="36"/>
          <w:sz w:val="32"/>
          <w:szCs w:val="32"/>
          <w:lang w:val="en-GB"/>
        </w:rPr>
      </w:pPr>
      <w:r>
        <w:rPr>
          <w:b/>
          <w:spacing w:val="36"/>
          <w:sz w:val="32"/>
          <w:szCs w:val="32"/>
          <w:lang w:val="en-GB"/>
        </w:rPr>
        <w:t xml:space="preserve">Contributes to Deliverable XX.XX.X </w:t>
      </w:r>
    </w:p>
    <w:p>
      <w:pPr>
        <w:pStyle w:val="Normal"/>
        <w:spacing w:lineRule="auto" w:line="240" w:before="0" w:after="120"/>
        <w:jc w:val="center"/>
        <w:rPr>
          <w:b/>
          <w:b/>
          <w:spacing w:val="36"/>
          <w:sz w:val="32"/>
          <w:szCs w:val="32"/>
          <w:lang w:val="en-GB"/>
        </w:rPr>
      </w:pPr>
      <w:r>
        <w:rPr>
          <w:b/>
          <w:spacing w:val="36"/>
          <w:sz w:val="32"/>
          <w:szCs w:val="32"/>
          <w:lang w:val="en-GB"/>
        </w:rPr>
        <w:t>WP4 Survey</w:t>
      </w:r>
    </w:p>
    <w:p>
      <w:pPr>
        <w:pStyle w:val="Normal"/>
        <w:spacing w:lineRule="auto" w:line="240" w:before="0" w:after="120"/>
        <w:rPr>
          <w:b/>
          <w:b/>
          <w:sz w:val="28"/>
          <w:lang w:val="en-GB"/>
        </w:rPr>
      </w:pPr>
      <w:r>
        <w:rPr>
          <w:b/>
          <w:sz w:val="28"/>
          <w:lang w:val="en-GB"/>
        </w:rPr>
      </w:r>
    </w:p>
    <w:p>
      <w:pPr>
        <w:pStyle w:val="Normal"/>
        <w:ind w:left="720" w:hanging="0"/>
        <w:jc w:val="center"/>
        <w:rPr>
          <w:b/>
          <w:b/>
          <w:sz w:val="32"/>
          <w:szCs w:val="32"/>
          <w:lang w:val="en-GB"/>
        </w:rPr>
      </w:pPr>
      <w:r>
        <w:rPr>
          <w:b/>
          <w:sz w:val="32"/>
          <w:szCs w:val="32"/>
          <w:lang w:val="en-GB"/>
        </w:rPr>
        <w:t>Version: 1.0</w:t>
      </w:r>
    </w:p>
    <w:p>
      <w:pPr>
        <w:pStyle w:val="Normal"/>
        <w:rPr>
          <w:lang w:val="en-GB"/>
        </w:rPr>
      </w:pPr>
      <w:r>
        <w:rPr>
          <w:lang w:val="en-GB"/>
        </w:rPr>
      </w:r>
    </w:p>
    <w:p>
      <w:pPr>
        <w:pStyle w:val="Normal"/>
        <w:rPr>
          <w:lang w:val="en-GB"/>
        </w:rPr>
      </w:pPr>
      <w:r>
        <w:rPr>
          <w:lang w:val="en-GB"/>
        </w:rPr>
      </w:r>
      <w:r>
        <w:br w:type="page"/>
      </w:r>
    </w:p>
    <w:p>
      <w:pPr>
        <w:pStyle w:val="Titre1"/>
        <w:rPr>
          <w:lang w:val="en-GB"/>
        </w:rPr>
      </w:pPr>
      <w:r>
        <w:rPr>
          <w:lang w:val="en-GB"/>
        </w:rPr>
        <w:t>Introduction</w:t>
      </w:r>
    </w:p>
    <w:p>
      <w:pPr>
        <w:pStyle w:val="Normal"/>
        <w:jc w:val="both"/>
        <w:rPr>
          <w:lang w:val="en-GB"/>
        </w:rPr>
      </w:pPr>
      <w:r>
        <w:rPr>
          <w:lang w:val="en-GB"/>
        </w:rPr>
      </w:r>
    </w:p>
    <w:p>
      <w:pPr>
        <w:pStyle w:val="Normal"/>
        <w:jc w:val="both"/>
        <w:rPr/>
      </w:pPr>
      <w:r>
        <w:rPr>
          <w:lang w:val="en-GB"/>
        </w:rPr>
        <w:t xml:space="preserve">Activities for modernization of official statistics at </w:t>
      </w:r>
      <w:r>
        <w:rPr>
          <w:lang w:val="en-GB"/>
        </w:rPr>
        <w:t xml:space="preserve">Eurostat and </w:t>
      </w:r>
      <w:r>
        <w:rPr>
          <w:lang w:val="en-GB"/>
        </w:rPr>
        <w:t xml:space="preserve">UNECE are producing common models and standards. Common service architectures for statistical production are </w:t>
      </w:r>
      <w:r>
        <w:rPr>
          <w:lang w:val="en-GB"/>
        </w:rPr>
        <w:t>put</w:t>
      </w:r>
      <w:r>
        <w:rPr>
          <w:lang w:val="en-GB"/>
        </w:rPr>
        <w:t xml:space="preserve"> in place.</w:t>
      </w:r>
    </w:p>
    <w:p>
      <w:pPr>
        <w:pStyle w:val="Normal"/>
        <w:jc w:val="both"/>
        <w:rPr>
          <w:lang w:val="en-GB"/>
        </w:rPr>
      </w:pPr>
      <w:r>
        <w:rPr>
          <w:lang w:val="en-GB"/>
        </w:rPr>
        <w:t>In the European Statistical System (ESS) the Vision 2020 open paths for the strategic directions.</w:t>
      </w:r>
    </w:p>
    <w:p>
      <w:pPr>
        <w:pStyle w:val="Normal"/>
        <w:jc w:val="both"/>
        <w:rPr/>
      </w:pPr>
      <w:r>
        <w:rPr>
          <w:lang w:val="en-GB"/>
        </w:rPr>
        <w:t xml:space="preserve">The SERV project </w:t>
      </w:r>
      <w:r>
        <w:rPr>
          <w:lang w:val="en-GB"/>
        </w:rPr>
        <w:t>(</w:t>
      </w:r>
      <w:hyperlink r:id="rId6">
        <w:r>
          <w:rPr>
            <w:rStyle w:val="LienInternet"/>
            <w:lang w:val="en-GB"/>
          </w:rPr>
          <w:t>https://ec.europa.eu/eurostat/cros/content/ess-vision-2020-shared-services_en</w:t>
        </w:r>
      </w:hyperlink>
      <w:r>
        <w:rPr>
          <w:lang w:val="en-GB"/>
        </w:rPr>
        <w:t xml:space="preserve">) </w:t>
      </w:r>
      <w:r>
        <w:rPr>
          <w:lang w:val="en-GB"/>
        </w:rPr>
        <w:t xml:space="preserve">fosters services reuse and </w:t>
      </w:r>
      <w:r>
        <w:rPr>
          <w:lang w:val="en-GB"/>
        </w:rPr>
        <w:t xml:space="preserve">the related </w:t>
      </w:r>
      <w:r>
        <w:rPr>
          <w:lang w:val="en-GB"/>
        </w:rPr>
        <w:t xml:space="preserve">ESSnet </w:t>
      </w:r>
      <w:r>
        <w:rPr>
          <w:lang w:val="en-GB"/>
        </w:rPr>
        <w:t xml:space="preserve">(“Sharing Common Functionalities in the ESS”: </w:t>
      </w:r>
      <w:hyperlink r:id="rId7">
        <w:r>
          <w:rPr>
            <w:rStyle w:val="LienInternetvisit"/>
            <w:lang w:val="en-GB"/>
          </w:rPr>
          <w:t>https://ec.europa.eu/eurostat/cros/content/sharing-common-functionalities-ess_en</w:t>
        </w:r>
      </w:hyperlink>
      <w:r>
        <w:rPr>
          <w:lang w:val="en-GB"/>
        </w:rPr>
        <w:t xml:space="preserve">, and its sequel “Implementing Shared Statistical Services”: </w:t>
      </w:r>
      <w:hyperlink r:id="rId8">
        <w:r>
          <w:rPr>
            <w:rStyle w:val="LienInternet"/>
            <w:lang w:val="en-GB"/>
          </w:rPr>
          <w:t>https://ec.europa.eu/eurostat/cros/content/implementing-shared-statistical-services_en</w:t>
        </w:r>
      </w:hyperlink>
      <w:r>
        <w:rPr>
          <w:lang w:val="en-GB"/>
        </w:rPr>
        <w:t>)</w:t>
      </w:r>
      <w:r>
        <w:rPr>
          <w:lang w:val="en-GB"/>
        </w:rPr>
        <w:t xml:space="preserve"> are producing the pieces needed to the puzzle of Shared Statistical Services.</w:t>
      </w:r>
    </w:p>
    <w:p>
      <w:pPr>
        <w:pStyle w:val="Normal"/>
        <w:jc w:val="both"/>
        <w:rPr/>
      </w:pPr>
      <w:r>
        <w:rPr>
          <w:lang w:val="en-GB"/>
        </w:rPr>
        <w:t>Very often the will of sharing and reusing a software component or a service is clearly  expressed, but it is difficult to concretely do it. The objective of this survey is to understand what can be the incentives for sharing and reusing, what are the elements used for evaluating such a decision, but also what are the barriers which can hinder a statistical institute to go to the end of the process.</w:t>
      </w:r>
    </w:p>
    <w:p>
      <w:pPr>
        <w:pStyle w:val="Normal"/>
        <w:jc w:val="both"/>
        <w:rPr>
          <w:lang w:val="en-GB"/>
        </w:rPr>
      </w:pPr>
      <w:r>
        <w:rPr>
          <w:lang w:val="en-GB"/>
        </w:rPr>
        <w:t>The result of the survey will allow to determine how it is possible to go through the different stages of maturity toward a greater mastery of a share and reuse strategy.</w:t>
      </w:r>
    </w:p>
    <w:p>
      <w:pPr>
        <w:pStyle w:val="Normal"/>
        <w:jc w:val="both"/>
        <w:rPr/>
      </w:pPr>
      <w:r>
        <w:rPr>
          <w:lang w:val="en-GB"/>
        </w:rPr>
        <w:t xml:space="preserve">Many surveys has been done in order to know what will be the future investments of the NSIs and what are the services they the more willing to share or reuse (the results of these surveys can for example be found on the UNECE Statswiki page of the Investments Catalogue: </w:t>
      </w:r>
      <w:hyperlink r:id="rId9">
        <w:r>
          <w:rPr>
            <w:rStyle w:val="LienInternet"/>
            <w:lang w:val="en-GB"/>
          </w:rPr>
          <w:t>https://statswiki.unece.org/display/CSPA/Investment+Database</w:t>
        </w:r>
      </w:hyperlink>
      <w:r>
        <w:rPr>
          <w:lang w:val="en-GB"/>
        </w:rPr>
        <w:t xml:space="preserve">, or for the survey made during the SCFE ESSNet: </w:t>
      </w:r>
      <w:hyperlink r:id="rId10">
        <w:r>
          <w:rPr>
            <w:rStyle w:val="LienInternet"/>
            <w:lang w:val="en-GB"/>
          </w:rPr>
          <w:t>https://ec.europa.eu/eurostat/cros/system/files/scfe_-_d4-1_-_initial_list_of_services_that_are_candidates_for_re-use_in_the_ess_0.pdf</w:t>
        </w:r>
      </w:hyperlink>
      <w:r>
        <w:rPr>
          <w:lang w:val="en-GB"/>
        </w:rPr>
        <w:t>). This survey has not this objective but is complementary.</w:t>
      </w:r>
    </w:p>
    <w:p>
      <w:pPr>
        <w:pStyle w:val="Normal"/>
        <w:jc w:val="both"/>
        <w:rPr>
          <w:lang w:val="en-GB"/>
        </w:rPr>
      </w:pPr>
      <w:r>
        <w:rPr>
          <w:lang w:val="en-GB"/>
        </w:rPr>
      </w:r>
    </w:p>
    <w:p>
      <w:pPr>
        <w:pStyle w:val="Normal"/>
        <w:jc w:val="both"/>
        <w:rPr>
          <w:lang w:val="en-GB"/>
        </w:rPr>
      </w:pPr>
      <w:r>
        <w:rPr>
          <w:lang w:val="en-GB"/>
        </w:rPr>
      </w:r>
    </w:p>
    <w:p>
      <w:pPr>
        <w:pStyle w:val="Titre1"/>
        <w:rPr>
          <w:lang w:val="en-GB"/>
        </w:rPr>
      </w:pPr>
      <w:r>
        <w:rPr>
          <w:lang w:val="en-GB"/>
        </w:rPr>
        <w:t>Section 1 – Identification and characterization of respondent</w:t>
      </w:r>
    </w:p>
    <w:p>
      <w:pPr>
        <w:pStyle w:val="Titre2"/>
        <w:rPr>
          <w:lang w:val="en-GB"/>
        </w:rPr>
      </w:pPr>
      <w:r>
        <w:rPr>
          <w:lang w:val="en-GB"/>
        </w:rPr>
        <w:t>1.1 Organization:</w:t>
      </w:r>
    </w:p>
    <w:p>
      <w:pPr>
        <w:pStyle w:val="Titre2"/>
        <w:rPr>
          <w:lang w:val="en-GB"/>
        </w:rPr>
      </w:pPr>
      <w:r>
        <w:rPr>
          <w:lang w:val="en-GB"/>
        </w:rPr>
        <w:t>1.2 Name:</w:t>
      </w:r>
    </w:p>
    <w:p>
      <w:pPr>
        <w:pStyle w:val="Titre2"/>
        <w:rPr>
          <w:lang w:val="en-GB"/>
        </w:rPr>
      </w:pPr>
      <w:r>
        <w:rPr>
          <w:lang w:val="en-GB"/>
        </w:rPr>
        <w:t>1.3 Name of Unit and position:</w:t>
      </w:r>
    </w:p>
    <w:p>
      <w:pPr>
        <w:pStyle w:val="Normal"/>
        <w:jc w:val="both"/>
        <w:rPr>
          <w:lang w:val="en-GB"/>
        </w:rPr>
      </w:pPr>
      <w:r>
        <w:rPr>
          <w:lang w:val="en-GB"/>
        </w:rPr>
        <w:t>...</w:t>
      </w:r>
    </w:p>
    <w:p>
      <w:pPr>
        <w:pStyle w:val="Titre1"/>
        <w:rPr>
          <w:lang w:val="en-GB"/>
        </w:rPr>
      </w:pPr>
      <w:r>
        <w:rPr>
          <w:lang w:val="en-GB"/>
        </w:rPr>
        <w:t>Section 2 –Search for service</w:t>
      </w:r>
    </w:p>
    <w:p>
      <w:pPr>
        <w:pStyle w:val="Titre2"/>
        <w:rPr/>
      </w:pPr>
      <w:r>
        <w:rPr>
          <w:lang w:val="en-GB"/>
        </w:rPr>
        <w:t xml:space="preserve">2.1 </w:t>
      </w:r>
      <w:r>
        <w:rPr>
          <w:lang w:val="en-GB"/>
        </w:rPr>
        <w:t>In the process of reuse the software what are the characteristics that you value more?</w:t>
      </w:r>
    </w:p>
    <w:p>
      <w:pPr>
        <w:pStyle w:val="Normal"/>
        <w:rPr/>
      </w:pPr>
      <w:r>
        <w:rPr>
          <w:lang w:val="en-GB"/>
        </w:rPr>
        <w:t>Community of users / type of licence / technology / cost / adoption of standards / impact and size of the service</w:t>
      </w:r>
      <w:r>
        <w:rPr>
          <w:lang w:val="en-GB"/>
        </w:rPr>
        <w:t xml:space="preserve"> / </w:t>
      </w:r>
      <w:r>
        <w:rPr>
          <w:lang w:val="en-GB"/>
        </w:rPr>
        <w:t>&lt;</w:t>
      </w:r>
      <w:r>
        <w:rPr>
          <w:i/>
          <w:iCs/>
          <w:lang w:val="en-GB"/>
        </w:rPr>
        <w:t>open answer&gt;</w:t>
      </w:r>
    </w:p>
    <w:p>
      <w:pPr>
        <w:pStyle w:val="Titre2"/>
        <w:rPr/>
      </w:pPr>
      <w:r>
        <w:rPr>
          <w:lang w:val="en-GB"/>
        </w:rPr>
        <w:t xml:space="preserve">2.2 </w:t>
      </w:r>
      <w:r>
        <w:rPr>
          <w:lang w:val="en-GB"/>
        </w:rPr>
        <w:t>Do you reuse any service that was made available in the ESS</w:t>
      </w:r>
      <w:r>
        <w:rPr>
          <w:lang w:val="en-GB"/>
        </w:rPr>
        <w:t xml:space="preserve">? </w:t>
      </w:r>
    </w:p>
    <w:p>
      <w:pPr>
        <w:pStyle w:val="Normal"/>
        <w:rPr/>
      </w:pPr>
      <w:r>
        <w:rPr>
          <w:lang w:val="en-GB"/>
        </w:rPr>
        <w:t>Yes / No</w:t>
      </w:r>
    </w:p>
    <w:p>
      <w:pPr>
        <w:pStyle w:val="Titre2"/>
        <w:rPr/>
      </w:pPr>
      <w:r>
        <w:rPr>
          <w:lang w:val="en-GB"/>
        </w:rPr>
        <w:t xml:space="preserve">2.3 </w:t>
      </w:r>
      <w:r>
        <w:rPr>
          <w:lang w:val="en-GB"/>
        </w:rPr>
        <w:t>If no, what are the main factors that block you from reuse a shared service</w:t>
      </w:r>
      <w:r>
        <w:rPr>
          <w:lang w:val="en-GB"/>
        </w:rPr>
        <w:t>?</w:t>
      </w:r>
    </w:p>
    <w:p>
      <w:pPr>
        <w:pStyle w:val="Normal"/>
        <w:rPr/>
      </w:pPr>
      <w:r>
        <w:rPr>
          <w:lang w:val="en-GB"/>
        </w:rPr>
        <w:t>requirements</w:t>
      </w:r>
      <w:r>
        <w:rPr>
          <w:lang w:val="en-GB"/>
        </w:rPr>
        <w:t xml:space="preserve"> / ...</w:t>
      </w:r>
    </w:p>
    <w:p>
      <w:pPr>
        <w:pStyle w:val="Titre2"/>
        <w:jc w:val="both"/>
        <w:rPr>
          <w:lang w:val="en-GB"/>
        </w:rPr>
      </w:pPr>
      <w:r>
        <w:rPr>
          <w:lang w:val="en-GB"/>
        </w:rPr>
        <w:t>2.3.1 For the blocking factors mentioned how could they be overstepped?</w:t>
      </w:r>
    </w:p>
    <w:p>
      <w:pPr>
        <w:pStyle w:val="Normal"/>
        <w:jc w:val="both"/>
        <w:rPr>
          <w:i/>
          <w:i/>
          <w:iCs/>
          <w:lang w:val="en-GB"/>
        </w:rPr>
      </w:pPr>
      <w:r>
        <w:rPr>
          <w:i/>
          <w:iCs/>
          <w:lang w:val="en-GB"/>
        </w:rPr>
        <w:t>&lt;open answer&gt;</w:t>
      </w:r>
    </w:p>
    <w:p>
      <w:pPr>
        <w:pStyle w:val="Titre2"/>
        <w:jc w:val="both"/>
        <w:rPr>
          <w:lang w:val="en-GB"/>
        </w:rPr>
      </w:pPr>
      <w:r>
        <w:rPr>
          <w:lang w:val="en-GB"/>
        </w:rPr>
        <w:t>2.4 If yes, what are the main factors that made you reuse that service?</w:t>
      </w:r>
    </w:p>
    <w:p>
      <w:pPr>
        <w:pStyle w:val="Normal"/>
        <w:jc w:val="both"/>
        <w:rPr>
          <w:lang w:val="en-GB"/>
        </w:rPr>
      </w:pPr>
      <w:r>
        <w:rPr>
          <w:lang w:val="en-GB"/>
        </w:rPr>
        <w:t>Compliant with standards / cost / ready to use solution / resources / technical qualities</w:t>
      </w:r>
    </w:p>
    <w:p>
      <w:pPr>
        <w:pStyle w:val="Titre1"/>
        <w:rPr>
          <w:lang w:val="en-GB"/>
        </w:rPr>
      </w:pPr>
      <w:r>
        <w:rPr>
          <w:lang w:val="en-GB"/>
        </w:rPr>
        <w:t>Section 3 – Make a service available</w:t>
      </w:r>
    </w:p>
    <w:p>
      <w:pPr>
        <w:pStyle w:val="Titre2"/>
        <w:rPr/>
      </w:pPr>
      <w:r>
        <w:rPr>
          <w:lang w:val="en-GB"/>
        </w:rPr>
        <w:t xml:space="preserve">3.1 </w:t>
      </w:r>
      <w:r>
        <w:rPr>
          <w:lang w:val="en-GB"/>
        </w:rPr>
        <w:t>In the process of sharing a service, what are the key reasons that you value more</w:t>
      </w:r>
      <w:r>
        <w:rPr>
          <w:lang w:val="en-GB"/>
        </w:rPr>
        <w:t>?</w:t>
      </w:r>
    </w:p>
    <w:p>
      <w:pPr>
        <w:pStyle w:val="Normal"/>
        <w:rPr/>
      </w:pPr>
      <w:r>
        <w:rPr/>
        <w:t xml:space="preserve">Increasing community of users / help in the maintenance / quality of the service / </w:t>
      </w:r>
      <w:r>
        <w:rPr>
          <w:i/>
          <w:iCs/>
        </w:rPr>
        <w:t>&lt;open answer&gt;</w:t>
      </w:r>
      <w:r>
        <w:rPr/>
        <w:t xml:space="preserve"> </w:t>
      </w:r>
    </w:p>
    <w:p>
      <w:pPr>
        <w:pStyle w:val="Titre2"/>
        <w:jc w:val="both"/>
        <w:rPr>
          <w:lang w:val="en-GB"/>
        </w:rPr>
      </w:pPr>
      <w:r>
        <w:rPr>
          <w:lang w:val="en-GB"/>
        </w:rPr>
        <w:t>3.</w:t>
      </w:r>
      <w:r>
        <w:rPr>
          <w:lang w:val="en-GB"/>
        </w:rPr>
        <w:t>2 In what many cases are you willing to share but don’t have the capabilities?</w:t>
      </w:r>
    </w:p>
    <w:p>
      <w:pPr>
        <w:pStyle w:val="Normal"/>
        <w:jc w:val="both"/>
        <w:rPr>
          <w:lang w:val="en-GB"/>
        </w:rPr>
      </w:pPr>
      <w:r>
        <w:rPr>
          <w:lang w:val="en-GB"/>
        </w:rPr>
        <w:t>None / in some cases (which one) / always</w:t>
      </w:r>
    </w:p>
    <w:p>
      <w:pPr>
        <w:pStyle w:val="Titre2"/>
        <w:jc w:val="both"/>
        <w:rPr>
          <w:lang w:val="en-GB"/>
        </w:rPr>
      </w:pPr>
      <w:r>
        <w:rPr>
          <w:lang w:val="en-GB"/>
        </w:rPr>
        <w:t>3.3 Do you share statistical services in the ESS?</w:t>
      </w:r>
    </w:p>
    <w:p>
      <w:pPr>
        <w:pStyle w:val="Normal"/>
        <w:jc w:val="both"/>
        <w:rPr>
          <w:lang w:val="en-GB"/>
        </w:rPr>
      </w:pPr>
      <w:r>
        <w:rPr>
          <w:lang w:val="en-GB"/>
        </w:rPr>
        <w:t>Yes / no</w:t>
      </w:r>
    </w:p>
    <w:p>
      <w:pPr>
        <w:pStyle w:val="Titre2"/>
        <w:jc w:val="both"/>
        <w:rPr>
          <w:lang w:val="en-GB"/>
        </w:rPr>
      </w:pPr>
      <w:r>
        <w:rPr>
          <w:lang w:val="en-GB"/>
        </w:rPr>
        <w:t>3.4 If not, what are the top reason for not sharing?</w:t>
      </w:r>
    </w:p>
    <w:p>
      <w:pPr>
        <w:pStyle w:val="Normal"/>
        <w:jc w:val="both"/>
        <w:rPr>
          <w:lang w:val="en-GB"/>
        </w:rPr>
      </w:pPr>
      <w:r>
        <w:rPr>
          <w:lang w:val="en-GB"/>
        </w:rPr>
        <w:t xml:space="preserve">doesn’t comply with standards / not open source / don’t the meet the required level of quality for external use / architectural requirements / </w:t>
      </w:r>
      <w:r>
        <w:rPr>
          <w:i/>
          <w:iCs/>
          <w:lang w:val="en-GB"/>
        </w:rPr>
        <w:t>&lt;open answer&gt;</w:t>
      </w:r>
    </w:p>
    <w:p>
      <w:pPr>
        <w:pStyle w:val="Titre2"/>
        <w:jc w:val="both"/>
        <w:rPr>
          <w:i w:val="false"/>
          <w:i w:val="false"/>
          <w:iCs w:val="false"/>
          <w:lang w:val="en-GB"/>
        </w:rPr>
      </w:pPr>
      <w:r>
        <w:rPr>
          <w:i w:val="false"/>
          <w:iCs w:val="false"/>
          <w:lang w:val="en-GB"/>
        </w:rPr>
        <w:t>3.5 If not, how do you think the factors mentioned before can be overstepped?</w:t>
      </w:r>
    </w:p>
    <w:p>
      <w:pPr>
        <w:pStyle w:val="Normal"/>
        <w:jc w:val="both"/>
        <w:rPr>
          <w:i/>
          <w:i/>
          <w:iCs/>
          <w:lang w:val="en-GB"/>
        </w:rPr>
      </w:pPr>
      <w:r>
        <w:rPr>
          <w:i/>
          <w:iCs/>
          <w:lang w:val="en-GB"/>
        </w:rPr>
        <w:t>&lt;open answer&gt;</w:t>
      </w:r>
    </w:p>
    <w:p>
      <w:pPr>
        <w:pStyle w:val="Titre2"/>
        <w:jc w:val="both"/>
        <w:rPr>
          <w:i w:val="false"/>
          <w:i w:val="false"/>
          <w:iCs w:val="false"/>
          <w:lang w:val="en-GB"/>
        </w:rPr>
      </w:pPr>
      <w:r>
        <w:rPr>
          <w:i w:val="false"/>
          <w:iCs w:val="false"/>
          <w:lang w:val="en-GB"/>
        </w:rPr>
        <w:t>3.6 What kind of reusers do you have?</w:t>
      </w:r>
    </w:p>
    <w:p>
      <w:pPr>
        <w:pStyle w:val="Normal"/>
        <w:jc w:val="both"/>
        <w:rPr>
          <w:i w:val="false"/>
          <w:i w:val="false"/>
          <w:iCs w:val="false"/>
          <w:lang w:val="en-GB"/>
        </w:rPr>
      </w:pPr>
      <w:r>
        <w:rPr>
          <w:i w:val="false"/>
          <w:iCs w:val="false"/>
          <w:lang w:val="en-GB"/>
        </w:rPr>
        <w:t xml:space="preserve">NSI / national banks / other national statistical authorities / other international statistical authorities / </w:t>
      </w:r>
      <w:r>
        <w:rPr>
          <w:i/>
          <w:iCs/>
          <w:lang w:val="en-GB"/>
        </w:rPr>
        <w:t>&lt;open answer&gt;</w:t>
      </w:r>
    </w:p>
    <w:p>
      <w:pPr>
        <w:pStyle w:val="Titre1"/>
        <w:rPr/>
      </w:pPr>
      <w:r>
        <w:rPr>
          <w:lang w:val="en-GB"/>
        </w:rPr>
        <w:t>Questions to audience at Rome Hackathon</w:t>
      </w:r>
    </w:p>
    <w:p>
      <w:pPr>
        <w:pStyle w:val="Normal"/>
        <w:rPr>
          <w:lang w:val="en-GB"/>
        </w:rPr>
      </w:pPr>
      <w:r>
        <w:rPr>
          <w:lang w:val="en-GB"/>
        </w:rPr>
      </w:r>
    </w:p>
    <w:p>
      <w:pPr>
        <w:pStyle w:val="Normal"/>
        <w:rPr>
          <w:lang w:val="en-GB"/>
        </w:rPr>
      </w:pPr>
      <w:r>
        <w:rPr>
          <w:sz w:val="26"/>
          <w:szCs w:val="26"/>
          <w:lang w:val="en-GB"/>
        </w:rPr>
        <w:t xml:space="preserve">The best option for the analysis of the survey is to use closed questions. Should we close the answers or try to obtain a broad scope of the reasons and motivations? </w:t>
      </w:r>
    </w:p>
    <w:p>
      <w:pPr>
        <w:pStyle w:val="Normal"/>
        <w:jc w:val="both"/>
        <w:rPr>
          <w:lang w:val="en-GB"/>
        </w:rPr>
      </w:pPr>
      <w:r>
        <w:rPr>
          <w:sz w:val="26"/>
          <w:szCs w:val="26"/>
          <w:lang w:val="en-GB"/>
        </w:rPr>
        <w:t>Run the survey with a platform (monkey survey,  )  with user/pwd or open?</w:t>
      </w:r>
    </w:p>
    <w:p>
      <w:pPr>
        <w:pStyle w:val="Normal"/>
        <w:jc w:val="both"/>
        <w:rPr>
          <w:lang w:val="en-GB"/>
        </w:rPr>
      </w:pPr>
      <w:r>
        <w:rPr>
          <w:sz w:val="26"/>
          <w:szCs w:val="26"/>
          <w:lang w:val="en-GB"/>
        </w:rPr>
        <w:t>Produce a document to explain questions?</w:t>
      </w:r>
    </w:p>
    <w:p>
      <w:pPr>
        <w:pStyle w:val="Normal"/>
        <w:jc w:val="both"/>
        <w:rPr>
          <w:lang w:val="en-GB"/>
        </w:rPr>
      </w:pPr>
      <w:r>
        <w:rPr>
          <w:sz w:val="26"/>
          <w:szCs w:val="26"/>
          <w:lang w:val="en-GB"/>
        </w:rPr>
        <w:t>Test under I3S?</w:t>
      </w:r>
    </w:p>
    <w:p>
      <w:pPr>
        <w:pStyle w:val="Normal"/>
        <w:jc w:val="both"/>
        <w:rPr>
          <w:lang w:val="en-GB"/>
        </w:rPr>
      </w:pPr>
      <w:r>
        <w:rPr>
          <w:sz w:val="26"/>
          <w:szCs w:val="26"/>
          <w:lang w:val="en-GB"/>
        </w:rPr>
        <w:t>Send to all NSI? Central Banks? Other statistical authorities? ECB? UNECE...</w:t>
      </w:r>
    </w:p>
    <w:p>
      <w:pPr>
        <w:pStyle w:val="Normal"/>
        <w:jc w:val="both"/>
        <w:rPr>
          <w:lang w:val="en-GB"/>
        </w:rPr>
      </w:pPr>
      <w:r>
        <w:rPr>
          <w:sz w:val="26"/>
          <w:szCs w:val="26"/>
          <w:lang w:val="en-GB"/>
        </w:rPr>
        <w:t xml:space="preserve">Time frame for </w:t>
      </w:r>
    </w:p>
    <w:p>
      <w:pPr>
        <w:pStyle w:val="ListParagraph"/>
        <w:numPr>
          <w:ilvl w:val="0"/>
          <w:numId w:val="2"/>
        </w:numPr>
        <w:jc w:val="both"/>
        <w:rPr>
          <w:lang w:val="en-GB"/>
        </w:rPr>
      </w:pPr>
      <w:r>
        <w:rPr>
          <w:sz w:val="26"/>
          <w:szCs w:val="26"/>
          <w:lang w:val="en-GB"/>
        </w:rPr>
        <w:t>Close the questions</w:t>
      </w:r>
    </w:p>
    <w:p>
      <w:pPr>
        <w:pStyle w:val="ListParagraph"/>
        <w:numPr>
          <w:ilvl w:val="0"/>
          <w:numId w:val="2"/>
        </w:numPr>
        <w:jc w:val="both"/>
        <w:rPr>
          <w:lang w:val="en-GB"/>
        </w:rPr>
      </w:pPr>
      <w:r>
        <w:rPr>
          <w:sz w:val="26"/>
          <w:szCs w:val="26"/>
          <w:lang w:val="en-GB"/>
        </w:rPr>
        <w:t>Send Questionnaire</w:t>
      </w:r>
    </w:p>
    <w:p>
      <w:pPr>
        <w:pStyle w:val="ListParagraph"/>
        <w:numPr>
          <w:ilvl w:val="0"/>
          <w:numId w:val="2"/>
        </w:numPr>
        <w:jc w:val="both"/>
        <w:rPr>
          <w:lang w:val="en-GB"/>
        </w:rPr>
      </w:pPr>
      <w:r>
        <w:rPr>
          <w:sz w:val="26"/>
          <w:szCs w:val="26"/>
          <w:lang w:val="en-GB"/>
        </w:rPr>
        <w:t>Insistence</w:t>
      </w:r>
    </w:p>
    <w:p>
      <w:pPr>
        <w:pStyle w:val="ListParagraph"/>
        <w:numPr>
          <w:ilvl w:val="0"/>
          <w:numId w:val="2"/>
        </w:numPr>
        <w:jc w:val="both"/>
        <w:rPr>
          <w:lang w:val="en-GB"/>
        </w:rPr>
      </w:pPr>
      <w:r>
        <w:rPr>
          <w:sz w:val="26"/>
          <w:szCs w:val="26"/>
          <w:lang w:val="en-GB"/>
        </w:rPr>
        <w:t>Collect</w:t>
      </w:r>
    </w:p>
    <w:p>
      <w:pPr>
        <w:pStyle w:val="ListParagraph"/>
        <w:numPr>
          <w:ilvl w:val="0"/>
          <w:numId w:val="2"/>
        </w:numPr>
        <w:jc w:val="both"/>
        <w:rPr>
          <w:lang w:val="en-GB"/>
        </w:rPr>
      </w:pPr>
      <w:r>
        <w:rPr>
          <w:sz w:val="26"/>
          <w:szCs w:val="26"/>
          <w:lang w:val="en-GB"/>
        </w:rPr>
        <w:t>Process</w:t>
      </w:r>
    </w:p>
    <w:p>
      <w:pPr>
        <w:pStyle w:val="ListParagraph"/>
        <w:numPr>
          <w:ilvl w:val="0"/>
          <w:numId w:val="2"/>
        </w:numPr>
        <w:jc w:val="both"/>
        <w:rPr>
          <w:lang w:val="en-GB"/>
        </w:rPr>
      </w:pPr>
      <w:r>
        <w:rPr>
          <w:sz w:val="26"/>
          <w:szCs w:val="26"/>
          <w:lang w:val="en-GB"/>
        </w:rPr>
        <w:t>Results Internal</w:t>
      </w:r>
    </w:p>
    <w:p>
      <w:pPr>
        <w:pStyle w:val="ListParagraph"/>
        <w:numPr>
          <w:ilvl w:val="0"/>
          <w:numId w:val="2"/>
        </w:numPr>
        <w:jc w:val="both"/>
        <w:rPr>
          <w:lang w:val="en-GB"/>
        </w:rPr>
      </w:pPr>
      <w:r>
        <w:rPr>
          <w:sz w:val="26"/>
          <w:szCs w:val="26"/>
          <w:lang w:val="en-GB"/>
        </w:rPr>
        <w:t>Results public</w:t>
      </w:r>
    </w:p>
    <w:p>
      <w:pPr>
        <w:pStyle w:val="Normal"/>
        <w:jc w:val="both"/>
        <w:rPr>
          <w:sz w:val="26"/>
          <w:szCs w:val="26"/>
          <w:lang w:val="en-GB"/>
        </w:rPr>
      </w:pPr>
      <w:r>
        <w:rPr>
          <w:sz w:val="26"/>
          <w:szCs w:val="26"/>
          <w:lang w:val="en-GB"/>
        </w:rPr>
      </w:r>
    </w:p>
    <w:p>
      <w:pPr>
        <w:pStyle w:val="Normal"/>
        <w:spacing w:before="0" w:after="200"/>
        <w:jc w:val="both"/>
        <w:rPr>
          <w:sz w:val="26"/>
          <w:szCs w:val="26"/>
        </w:rPr>
      </w:pPr>
      <w:r>
        <w:rPr>
          <w:sz w:val="26"/>
          <w:szCs w:val="26"/>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Arial">
    <w:charset w:val="01"/>
    <w:family w:val="swiss"/>
    <w:pitch w:val="default"/>
  </w:font>
  <w:font w:name="PT Serif">
    <w:charset w:val="01"/>
    <w:family w:val="swiss"/>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6"/>
      <w:numFmt w:val="bullet"/>
      <w:lvlText w:val="-"/>
      <w:lvlJc w:val="left"/>
      <w:pPr>
        <w:ind w:left="405" w:hanging="360"/>
      </w:pPr>
      <w:rPr>
        <w:rFonts w:ascii="Calibri" w:hAnsi="Calibri" w:cs="Calibri" w:hint="default"/>
        <w:rFonts w:cs=""/>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6"/>
  <w:defaultTabStop w:val="708"/>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6aa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Titre1">
    <w:name w:val="Heading 1"/>
    <w:basedOn w:val="Normal"/>
    <w:next w:val="Normal"/>
    <w:link w:val="Heading1Char"/>
    <w:uiPriority w:val="9"/>
    <w:qFormat/>
    <w:rsid w:val="00e801b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882d1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439b6"/>
    <w:rPr>
      <w:color w:val="0000FF" w:themeColor="hyperlink"/>
      <w:u w:val="single"/>
    </w:rPr>
  </w:style>
  <w:style w:type="character" w:styleId="FollowedHyperlink">
    <w:name w:val="FollowedHyperlink"/>
    <w:basedOn w:val="DefaultParagraphFont"/>
    <w:uiPriority w:val="99"/>
    <w:semiHidden/>
    <w:unhideWhenUsed/>
    <w:qFormat/>
    <w:rsid w:val="002856f1"/>
    <w:rPr>
      <w:color w:val="800080" w:themeColor="followedHyperlink"/>
      <w:u w:val="single"/>
    </w:rPr>
  </w:style>
  <w:style w:type="character" w:styleId="InternetLink" w:customStyle="1">
    <w:name w:val="Internet Link"/>
    <w:uiPriority w:val="99"/>
    <w:qFormat/>
    <w:rsid w:val="002856f1"/>
    <w:rPr>
      <w:color w:val="0000FF"/>
      <w:u w:val="single"/>
    </w:rPr>
  </w:style>
  <w:style w:type="character" w:styleId="BalloonTextChar" w:customStyle="1">
    <w:name w:val="Balloon Text Char"/>
    <w:basedOn w:val="DefaultParagraphFont"/>
    <w:link w:val="BalloonText"/>
    <w:uiPriority w:val="99"/>
    <w:semiHidden/>
    <w:qFormat/>
    <w:rsid w:val="002856f1"/>
    <w:rPr>
      <w:rFonts w:ascii="Tahoma" w:hAnsi="Tahoma" w:cs="Tahoma"/>
      <w:sz w:val="16"/>
      <w:szCs w:val="16"/>
    </w:rPr>
  </w:style>
  <w:style w:type="character" w:styleId="Heading1Char" w:customStyle="1">
    <w:name w:val="Heading 1 Char"/>
    <w:basedOn w:val="DefaultParagraphFont"/>
    <w:link w:val="Heading1"/>
    <w:uiPriority w:val="9"/>
    <w:qFormat/>
    <w:rsid w:val="00e801b1"/>
    <w:rPr>
      <w:rFonts w:ascii="Cambria" w:hAnsi="Cambria" w:eastAsia="" w:cs="" w:asciiTheme="majorHAnsi" w:cstheme="majorBidi" w:eastAsiaTheme="majorEastAsia" w:hAnsiTheme="majorHAnsi"/>
      <w:b/>
      <w:bCs/>
      <w:color w:val="365F91" w:themeColor="accent1" w:themeShade="bf"/>
      <w:sz w:val="28"/>
      <w:szCs w:val="28"/>
    </w:rPr>
  </w:style>
  <w:style w:type="character" w:styleId="FootnoteTextChar" w:customStyle="1">
    <w:name w:val="Footnote Text Char"/>
    <w:basedOn w:val="DefaultParagraphFont"/>
    <w:link w:val="FootnoteText"/>
    <w:uiPriority w:val="99"/>
    <w:semiHidden/>
    <w:qFormat/>
    <w:rsid w:val="00e801b1"/>
    <w:rPr>
      <w:sz w:val="20"/>
      <w:szCs w:val="20"/>
    </w:rPr>
  </w:style>
  <w:style w:type="character" w:styleId="Footnotereference">
    <w:name w:val="footnote reference"/>
    <w:basedOn w:val="DefaultParagraphFont"/>
    <w:uiPriority w:val="99"/>
    <w:semiHidden/>
    <w:unhideWhenUsed/>
    <w:qFormat/>
    <w:rsid w:val="00e801b1"/>
    <w:rPr>
      <w:vertAlign w:val="superscript"/>
    </w:rPr>
  </w:style>
  <w:style w:type="character" w:styleId="Heading2Char" w:customStyle="1">
    <w:name w:val="Heading 2 Char"/>
    <w:basedOn w:val="DefaultParagraphFont"/>
    <w:link w:val="Heading2"/>
    <w:uiPriority w:val="9"/>
    <w:qFormat/>
    <w:rsid w:val="00882d1b"/>
    <w:rPr>
      <w:rFonts w:ascii="Cambria" w:hAnsi="Cambria" w:eastAsia="" w:cs="" w:asciiTheme="majorHAnsi" w:cstheme="majorBidi" w:eastAsiaTheme="majorEastAsia" w:hAnsiTheme="majorHAnsi"/>
      <w:b/>
      <w:bCs/>
      <w:color w:val="4F81BD" w:themeColor="accent1"/>
      <w:sz w:val="26"/>
      <w:szCs w:val="26"/>
    </w:rPr>
  </w:style>
  <w:style w:type="character" w:styleId="EndnoteTextChar" w:customStyle="1">
    <w:name w:val="Endnote Text Char"/>
    <w:basedOn w:val="DefaultParagraphFont"/>
    <w:link w:val="EndnoteText"/>
    <w:uiPriority w:val="99"/>
    <w:semiHidden/>
    <w:qFormat/>
    <w:rsid w:val="000738d2"/>
    <w:rPr>
      <w:sz w:val="20"/>
      <w:szCs w:val="20"/>
    </w:rPr>
  </w:style>
  <w:style w:type="character" w:styleId="Endnotereference">
    <w:name w:val="endnote reference"/>
    <w:basedOn w:val="DefaultParagraphFont"/>
    <w:uiPriority w:val="99"/>
    <w:semiHidden/>
    <w:unhideWhenUsed/>
    <w:qFormat/>
    <w:rsid w:val="000738d2"/>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Arial" w:hAnsi="Arial" w:eastAsia="Microsoft YaHei" w:cs="Mangal"/>
      <w:sz w:val="24"/>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Arial" w:hAnsi="Arial" w:cs="Mangal"/>
    </w:rPr>
  </w:style>
  <w:style w:type="paragraph" w:styleId="Lgende">
    <w:name w:val="Caption"/>
    <w:basedOn w:val="Normal"/>
    <w:qFormat/>
    <w:pPr>
      <w:suppressLineNumbers/>
      <w:spacing w:before="120" w:after="120"/>
    </w:pPr>
    <w:rPr>
      <w:rFonts w:ascii="Arial" w:hAnsi="Arial" w:cs="Mangal"/>
      <w:i/>
      <w:iCs/>
      <w:sz w:val="18"/>
      <w:szCs w:val="24"/>
    </w:rPr>
  </w:style>
  <w:style w:type="paragraph" w:styleId="Index">
    <w:name w:val="Index"/>
    <w:basedOn w:val="Normal"/>
    <w:qFormat/>
    <w:pPr>
      <w:suppressLineNumbers/>
    </w:pPr>
    <w:rPr>
      <w:rFonts w:ascii="Arial" w:hAnsi="Arial" w:cs="Mangal"/>
    </w:rPr>
  </w:style>
  <w:style w:type="paragraph" w:styleId="FrameContents" w:customStyle="1">
    <w:name w:val="Frame Contents"/>
    <w:basedOn w:val="Normal"/>
    <w:qFormat/>
    <w:rsid w:val="002856f1"/>
    <w:pPr/>
    <w:rPr>
      <w:rFonts w:ascii="Calibri" w:hAnsi="Calibri" w:eastAsia="Calibri" w:cs="Times New Roman"/>
      <w:color w:val="00000A"/>
      <w:lang w:val="nl-NL"/>
    </w:rPr>
  </w:style>
  <w:style w:type="paragraph" w:styleId="BalloonText">
    <w:name w:val="Balloon Text"/>
    <w:basedOn w:val="Normal"/>
    <w:link w:val="BalloonTextChar"/>
    <w:uiPriority w:val="99"/>
    <w:semiHidden/>
    <w:unhideWhenUsed/>
    <w:qFormat/>
    <w:rsid w:val="002856f1"/>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e801b1"/>
    <w:pPr>
      <w:spacing w:lineRule="auto" w:line="240" w:before="0" w:after="0"/>
    </w:pPr>
    <w:rPr>
      <w:sz w:val="20"/>
      <w:szCs w:val="20"/>
    </w:rPr>
  </w:style>
  <w:style w:type="paragraph" w:styleId="Caption">
    <w:name w:val="caption"/>
    <w:basedOn w:val="Normal"/>
    <w:next w:val="Normal"/>
    <w:uiPriority w:val="35"/>
    <w:unhideWhenUsed/>
    <w:qFormat/>
    <w:rsid w:val="00df0ce6"/>
    <w:pPr>
      <w:spacing w:lineRule="auto" w:line="240"/>
    </w:pPr>
    <w:rPr>
      <w:b/>
      <w:bCs/>
      <w:color w:val="4F81BD" w:themeColor="accent1"/>
      <w:sz w:val="18"/>
      <w:szCs w:val="18"/>
    </w:rPr>
  </w:style>
  <w:style w:type="paragraph" w:styleId="ListParagraph">
    <w:name w:val="List Paragraph"/>
    <w:basedOn w:val="Normal"/>
    <w:uiPriority w:val="34"/>
    <w:qFormat/>
    <w:rsid w:val="00882d1b"/>
    <w:pPr>
      <w:spacing w:before="0" w:after="200"/>
      <w:ind w:left="720" w:hanging="0"/>
      <w:contextualSpacing/>
    </w:pPr>
    <w:rPr/>
  </w:style>
  <w:style w:type="paragraph" w:styleId="Endnotetext">
    <w:name w:val="endnote text"/>
    <w:basedOn w:val="Normal"/>
    <w:link w:val="EndnoteTextChar"/>
    <w:uiPriority w:val="99"/>
    <w:semiHidden/>
    <w:unhideWhenUsed/>
    <w:qFormat/>
    <w:rsid w:val="000738d2"/>
    <w:pPr>
      <w:spacing w:lineRule="auto" w:line="240" w:before="0" w:after="0"/>
    </w:pPr>
    <w:rPr>
      <w:sz w:val="20"/>
      <w:szCs w:val="20"/>
    </w:rPr>
  </w:style>
  <w:style w:type="paragraph" w:styleId="Default" w:customStyle="1">
    <w:name w:val="Default"/>
    <w:basedOn w:val="Normal"/>
    <w:qFormat/>
    <w:rsid w:val="00521afe"/>
    <w:pPr>
      <w:spacing w:lineRule="auto" w:line="240" w:before="0" w:after="0"/>
    </w:pPr>
    <w:rPr>
      <w:rFonts w:ascii="PT Serif" w:hAnsi="PT Serif" w:cs="Times New Roman"/>
      <w:color w:val="000000"/>
      <w:sz w:val="24"/>
      <w:szCs w:val="24"/>
      <w:lang w:eastAsia="pt-PT"/>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www.cros-portal.eu/" TargetMode="External"/><Relationship Id="rId6" Type="http://schemas.openxmlformats.org/officeDocument/2006/relationships/hyperlink" Target="https://ec.europa.eu/eurostat/cros/content/ess-vision-2020-shared-services_en" TargetMode="External"/><Relationship Id="rId7" Type="http://schemas.openxmlformats.org/officeDocument/2006/relationships/hyperlink" Target="https://ec.europa.eu/eurostat/cros/content/sharing-common-functionalities-ess_en" TargetMode="External"/><Relationship Id="rId8" Type="http://schemas.openxmlformats.org/officeDocument/2006/relationships/hyperlink" Target="https://ec.europa.eu/eurostat/cros/content/implementing-shared-statistical-services_en" TargetMode="External"/><Relationship Id="rId9" Type="http://schemas.openxmlformats.org/officeDocument/2006/relationships/hyperlink" Target="https://statswiki.unece.org/display/CSPA/Investment+Database" TargetMode="External"/><Relationship Id="rId10" Type="http://schemas.openxmlformats.org/officeDocument/2006/relationships/hyperlink" Target="https://ec.europa.eu/eurostat/cros/system/files/scfe_-_d4-1_-_initial_list_of_services_that_are_candidates_for_re-use_in_the_ess_0.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623DA-9A8B-4FAB-BC71-E28AC543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LibreOffice/5.4.6.2$Windows_X86_64 LibreOffice_project/4014ce260a04f1026ba855d3b8d91541c224eab8</Application>
  <Pages>4</Pages>
  <Words>670</Words>
  <Characters>3764</Characters>
  <CharactersWithSpaces>4388</CharactersWithSpaces>
  <Paragraphs>60</Paragraphs>
  <Company>Instituto Nacional de Estatistica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2019-05-18T22:42:00Z</dcterms:created>
  <dc:creator>ine</dc:creator>
  <dc:description/>
  <dc:language>fr-FR</dc:language>
  <cp:lastModifiedBy>Benoît Rouppert</cp:lastModifiedBy>
  <dcterms:modified xsi:type="dcterms:W3CDTF">2019-05-23T16:55:42Z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Instituto Nacional de Estatistica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