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76B" w:rsidRPr="008B676B" w:rsidRDefault="008B676B" w:rsidP="008B676B">
      <w:pPr>
        <w:spacing w:after="92" w:line="303" w:lineRule="atLeast"/>
        <w:outlineLvl w:val="0"/>
        <w:rPr>
          <w:rFonts w:ascii="Georgia" w:eastAsia="Times New Roman" w:hAnsi="Georgia" w:cs="Times New Roman"/>
          <w:color w:val="484848"/>
          <w:kern w:val="36"/>
          <w:sz w:val="28"/>
          <w:szCs w:val="28"/>
          <w:lang w:eastAsia="bg-BG"/>
        </w:rPr>
      </w:pPr>
      <w:r w:rsidRPr="008B676B">
        <w:rPr>
          <w:rFonts w:ascii="Georgia" w:eastAsia="Times New Roman" w:hAnsi="Georgia" w:cs="Times New Roman"/>
          <w:color w:val="484848"/>
          <w:kern w:val="36"/>
          <w:sz w:val="28"/>
          <w:szCs w:val="28"/>
          <w:lang w:eastAsia="bg-BG"/>
        </w:rPr>
        <w:t>НАРЕДБА ЗА ДЕЙНОСТТА НА ЗАЛОЖНИТЕ КЪЩИ</w:t>
      </w:r>
    </w:p>
    <w:p w:rsidR="008B676B" w:rsidRPr="008B676B" w:rsidRDefault="008B676B" w:rsidP="008B676B">
      <w:pPr>
        <w:spacing w:after="183" w:line="240" w:lineRule="auto"/>
        <w:rPr>
          <w:rFonts w:ascii="Georgia" w:eastAsia="Times New Roman" w:hAnsi="Georgia" w:cs="Times New Roman"/>
          <w:i/>
          <w:iCs/>
          <w:color w:val="333333"/>
          <w:sz w:val="17"/>
          <w:szCs w:val="17"/>
          <w:lang w:eastAsia="bg-BG"/>
        </w:rPr>
      </w:pPr>
      <w:r w:rsidRPr="008B676B">
        <w:rPr>
          <w:rFonts w:ascii="Georgia" w:eastAsia="Times New Roman" w:hAnsi="Georgia" w:cs="Times New Roman"/>
          <w:i/>
          <w:iCs/>
          <w:color w:val="333333"/>
          <w:sz w:val="17"/>
          <w:szCs w:val="17"/>
          <w:lang w:eastAsia="bg-BG"/>
        </w:rPr>
        <w:t>..</w:t>
      </w:r>
    </w:p>
    <w:p w:rsidR="008B676B" w:rsidRPr="008B676B" w:rsidRDefault="008B676B" w:rsidP="008B676B">
      <w:pPr>
        <w:spacing w:after="0" w:line="240" w:lineRule="auto"/>
        <w:rPr>
          <w:rFonts w:ascii="Tahoma" w:eastAsia="Times New Roman" w:hAnsi="Tahoma" w:cs="Tahoma"/>
          <w:color w:val="484848"/>
          <w:sz w:val="11"/>
          <w:szCs w:val="11"/>
          <w:lang w:eastAsia="bg-BG"/>
        </w:rPr>
      </w:pPr>
      <w:r w:rsidRPr="008B676B">
        <w:rPr>
          <w:rFonts w:ascii="Tahoma" w:eastAsia="Times New Roman" w:hAnsi="Tahoma" w:cs="Tahoma"/>
          <w:color w:val="484848"/>
          <w:sz w:val="11"/>
          <w:szCs w:val="11"/>
          <w:lang w:eastAsia="bg-BG"/>
        </w:rPr>
        <w:t>Държавен вестник брой: 16</w:t>
      </w:r>
    </w:p>
    <w:p w:rsidR="008B676B" w:rsidRPr="008B676B" w:rsidRDefault="008B676B" w:rsidP="008B676B">
      <w:pPr>
        <w:spacing w:after="0" w:line="240" w:lineRule="auto"/>
        <w:rPr>
          <w:rFonts w:ascii="Tahoma" w:eastAsia="Times New Roman" w:hAnsi="Tahoma" w:cs="Tahoma"/>
          <w:color w:val="484848"/>
          <w:sz w:val="11"/>
          <w:szCs w:val="11"/>
          <w:lang w:eastAsia="bg-BG"/>
        </w:rPr>
      </w:pPr>
      <w:r w:rsidRPr="008B676B">
        <w:rPr>
          <w:rFonts w:ascii="Tahoma" w:eastAsia="Times New Roman" w:hAnsi="Tahoma" w:cs="Tahoma"/>
          <w:color w:val="484848"/>
          <w:sz w:val="11"/>
          <w:szCs w:val="11"/>
          <w:lang w:eastAsia="bg-BG"/>
        </w:rPr>
        <w:t>Година: 2009</w:t>
      </w:r>
    </w:p>
    <w:p w:rsidR="008B676B" w:rsidRPr="008B676B" w:rsidRDefault="008B676B" w:rsidP="008B676B">
      <w:pPr>
        <w:spacing w:after="0" w:line="240" w:lineRule="auto"/>
        <w:rPr>
          <w:rFonts w:ascii="Tahoma" w:eastAsia="Times New Roman" w:hAnsi="Tahoma" w:cs="Tahoma"/>
          <w:color w:val="484848"/>
          <w:sz w:val="11"/>
          <w:szCs w:val="11"/>
          <w:lang w:eastAsia="bg-BG"/>
        </w:rPr>
      </w:pPr>
      <w:r w:rsidRPr="008B676B">
        <w:rPr>
          <w:rFonts w:ascii="Tahoma" w:eastAsia="Times New Roman" w:hAnsi="Tahoma" w:cs="Tahoma"/>
          <w:color w:val="484848"/>
          <w:sz w:val="11"/>
          <w:szCs w:val="11"/>
          <w:lang w:eastAsia="bg-BG"/>
        </w:rPr>
        <w:t>Орган на издаване: ..</w:t>
      </w:r>
    </w:p>
    <w:p w:rsidR="008B676B" w:rsidRPr="008B676B" w:rsidRDefault="008B676B" w:rsidP="008B676B">
      <w:pPr>
        <w:spacing w:after="0" w:line="240" w:lineRule="auto"/>
        <w:rPr>
          <w:rFonts w:ascii="Tahoma" w:eastAsia="Times New Roman" w:hAnsi="Tahoma" w:cs="Tahoma"/>
          <w:color w:val="484848"/>
          <w:sz w:val="11"/>
          <w:szCs w:val="11"/>
          <w:lang w:eastAsia="bg-BG"/>
        </w:rPr>
      </w:pPr>
      <w:r w:rsidRPr="008B676B">
        <w:rPr>
          <w:rFonts w:ascii="Tahoma" w:eastAsia="Times New Roman" w:hAnsi="Tahoma" w:cs="Tahoma"/>
          <w:color w:val="484848"/>
          <w:sz w:val="11"/>
          <w:szCs w:val="11"/>
          <w:lang w:eastAsia="bg-BG"/>
        </w:rPr>
        <w:t>Дата на обнародване: 04.03.2009</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първа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ОБЩИ ПОЛОЖЕНИЯ</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br/>
        <w:t>Чл. 1. С наредбата се определят условията и редът за предоставяне по занятие на парични заеми, обезпечени със залог върху движими вещи, и изискванията към лицата, които ги контролират.</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 Целта на наредбата е защита на потребителите на парични заеми, предоставени от заложните къщи, и подобряване на условията за конкуренция.</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втора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ИЗИСКВАНИЯ КЪМ ЗАЛОЖНАТА КЪЩА</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br/>
        <w:t>Чл. 3.</w:t>
      </w:r>
      <w:r w:rsidRPr="008B676B">
        <w:rPr>
          <w:rFonts w:ascii="Arial" w:eastAsia="Times New Roman" w:hAnsi="Arial" w:cs="Arial"/>
          <w:color w:val="333333"/>
          <w:sz w:val="15"/>
          <w:szCs w:val="15"/>
          <w:lang w:eastAsia="bg-BG"/>
        </w:rPr>
        <w:br/>
        <w:t>(1) Заложната къща е лице, което по занятие предоставя парични заеми, обезпечени със залог върху движими вещи.</w:t>
      </w:r>
      <w:r w:rsidRPr="008B676B">
        <w:rPr>
          <w:rFonts w:ascii="Arial" w:eastAsia="Times New Roman" w:hAnsi="Arial" w:cs="Arial"/>
          <w:color w:val="333333"/>
          <w:sz w:val="15"/>
          <w:szCs w:val="15"/>
          <w:lang w:eastAsia="bg-BG"/>
        </w:rPr>
        <w:br/>
        <w:t>(2) Заложната къща не може да извършва по занятие други търговски сделки, освен когато това е необходимо във връзка с осъществяването на дейността й.</w:t>
      </w:r>
      <w:r w:rsidRPr="008B676B">
        <w:rPr>
          <w:rFonts w:ascii="Arial" w:eastAsia="Times New Roman" w:hAnsi="Arial" w:cs="Arial"/>
          <w:color w:val="333333"/>
          <w:sz w:val="15"/>
          <w:szCs w:val="15"/>
          <w:lang w:eastAsia="bg-BG"/>
        </w:rPr>
        <w:br/>
        <w:t>(3) Заложната къща не може да предоставя парични заеми, обезпечени с ипотека върху недвижим имот и ограничени вещни права, да придобива собственост или право на ползване върху недвижими имоти срещу предоставянето на паричен заем, както и да сключва договори за продажба с уговорка за обратно изкупуване.</w:t>
      </w:r>
      <w:r w:rsidRPr="008B676B">
        <w:rPr>
          <w:rFonts w:ascii="Arial" w:eastAsia="Times New Roman" w:hAnsi="Arial" w:cs="Arial"/>
          <w:color w:val="333333"/>
          <w:sz w:val="15"/>
          <w:szCs w:val="15"/>
          <w:lang w:eastAsia="bg-BG"/>
        </w:rPr>
        <w:br/>
        <w:t>(4) Заложната къща не може да приема в залог движими вещи - паметници на културата от национално и световно значение, оръжие и боеприпаси.</w:t>
      </w:r>
      <w:r w:rsidRPr="008B676B">
        <w:rPr>
          <w:rFonts w:ascii="Arial" w:eastAsia="Times New Roman" w:hAnsi="Arial" w:cs="Arial"/>
          <w:color w:val="333333"/>
          <w:sz w:val="15"/>
          <w:szCs w:val="15"/>
          <w:lang w:eastAsia="bg-BG"/>
        </w:rPr>
        <w:br/>
        <w:t>(5) Във фирмата на лицето, което по занятие предоставя парични заеми, обезпечени със залог върху движими вещи, се включва означението "заложна къща".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4.</w:t>
      </w:r>
      <w:r w:rsidRPr="008B676B">
        <w:rPr>
          <w:rFonts w:ascii="Arial" w:eastAsia="Times New Roman" w:hAnsi="Arial" w:cs="Arial"/>
          <w:color w:val="333333"/>
          <w:sz w:val="15"/>
          <w:szCs w:val="15"/>
          <w:lang w:eastAsia="bg-BG"/>
        </w:rPr>
        <w:br/>
        <w:t>(1) Заложните къщи обявяват на видно за потребителите място следната информация:</w:t>
      </w:r>
      <w:r w:rsidRPr="008B676B">
        <w:rPr>
          <w:rFonts w:ascii="Arial" w:eastAsia="Times New Roman" w:hAnsi="Arial" w:cs="Arial"/>
          <w:color w:val="333333"/>
          <w:sz w:val="15"/>
          <w:szCs w:val="15"/>
          <w:lang w:eastAsia="bg-BG"/>
        </w:rPr>
        <w:br/>
        <w:t>1. наименованието си и обозначението "заложна къща";</w:t>
      </w:r>
      <w:r w:rsidRPr="008B676B">
        <w:rPr>
          <w:rFonts w:ascii="Arial" w:eastAsia="Times New Roman" w:hAnsi="Arial" w:cs="Arial"/>
          <w:color w:val="333333"/>
          <w:sz w:val="15"/>
          <w:szCs w:val="15"/>
          <w:lang w:eastAsia="bg-BG"/>
        </w:rPr>
        <w:br/>
        <w:t>2. общите условия на заложната дейност (обща цена на услугата - такси, комисиони и други разходи, пряко свързани със заема; критериите, въз основа на които тези разходи могат да се изменят; периодът от време, през който предоставената информация е валидна, и др.);</w:t>
      </w:r>
      <w:r w:rsidRPr="008B676B">
        <w:rPr>
          <w:rFonts w:ascii="Arial" w:eastAsia="Times New Roman" w:hAnsi="Arial" w:cs="Arial"/>
          <w:color w:val="333333"/>
          <w:sz w:val="15"/>
          <w:szCs w:val="15"/>
          <w:lang w:eastAsia="bg-BG"/>
        </w:rPr>
        <w:br/>
        <w:t>3. методите за оценяване и условията за съхраняване на приеманите залози;</w:t>
      </w:r>
      <w:r w:rsidRPr="008B676B">
        <w:rPr>
          <w:rFonts w:ascii="Arial" w:eastAsia="Times New Roman" w:hAnsi="Arial" w:cs="Arial"/>
          <w:color w:val="333333"/>
          <w:sz w:val="15"/>
          <w:szCs w:val="15"/>
          <w:lang w:eastAsia="bg-BG"/>
        </w:rPr>
        <w:br/>
        <w:t>4. размерите и сроковете на предоставяните заеми;</w:t>
      </w:r>
      <w:r w:rsidRPr="008B676B">
        <w:rPr>
          <w:rFonts w:ascii="Arial" w:eastAsia="Times New Roman" w:hAnsi="Arial" w:cs="Arial"/>
          <w:color w:val="333333"/>
          <w:sz w:val="15"/>
          <w:szCs w:val="15"/>
          <w:lang w:eastAsia="bg-BG"/>
        </w:rPr>
        <w:br/>
        <w:t>5. условията на удовлетворяване в случаите на непогасяване на заемите;</w:t>
      </w:r>
      <w:r w:rsidRPr="008B676B">
        <w:rPr>
          <w:rFonts w:ascii="Arial" w:eastAsia="Times New Roman" w:hAnsi="Arial" w:cs="Arial"/>
          <w:color w:val="333333"/>
          <w:sz w:val="15"/>
          <w:szCs w:val="15"/>
          <w:lang w:eastAsia="bg-BG"/>
        </w:rPr>
        <w:br/>
        <w:t>6. условията и разходите при предсрочно погасяване на заема и за връщане на заложената вещ;</w:t>
      </w:r>
      <w:r w:rsidRPr="008B676B">
        <w:rPr>
          <w:rFonts w:ascii="Arial" w:eastAsia="Times New Roman" w:hAnsi="Arial" w:cs="Arial"/>
          <w:color w:val="333333"/>
          <w:sz w:val="15"/>
          <w:szCs w:val="15"/>
          <w:lang w:eastAsia="bg-BG"/>
        </w:rPr>
        <w:br/>
        <w:t>7. условията за връщане на заложената вещ в случаите по чл. 22.</w:t>
      </w:r>
      <w:r w:rsidRPr="008B676B">
        <w:rPr>
          <w:rFonts w:ascii="Arial" w:eastAsia="Times New Roman" w:hAnsi="Arial" w:cs="Arial"/>
          <w:color w:val="333333"/>
          <w:sz w:val="15"/>
          <w:szCs w:val="15"/>
          <w:lang w:eastAsia="bg-BG"/>
        </w:rPr>
        <w:br/>
        <w:t>(2) На информационно табло се изписва информацията по ал. 1, т. 1, 3 - 5 и 7. Тя трябва да е недвусмислена и да не въвежда в заблуждение клиентите на заложните къщи. Информацията се изписва на чист едноцветен фон с контрастен на него цвят, с един печатен шрифт и с еднакви по размер букви и цифри. Останалата част от информацията по ал. 1 се поставя на достъпно за потребителите място.</w:t>
      </w:r>
      <w:r w:rsidRPr="008B676B">
        <w:rPr>
          <w:rFonts w:ascii="Arial" w:eastAsia="Times New Roman" w:hAnsi="Arial" w:cs="Arial"/>
          <w:color w:val="333333"/>
          <w:sz w:val="15"/>
          <w:szCs w:val="15"/>
          <w:lang w:eastAsia="bg-BG"/>
        </w:rPr>
        <w:br/>
        <w:t>(3) Информацията за регистрацията по чл. 7 се поставя на видно място.</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5. Прокурист, управител, член на управителен и контролен орган или неограничено отговорен съдружник в заложна къща не може да бъде лице, което:</w:t>
      </w:r>
      <w:r w:rsidRPr="008B676B">
        <w:rPr>
          <w:rFonts w:ascii="Arial" w:eastAsia="Times New Roman" w:hAnsi="Arial" w:cs="Arial"/>
          <w:color w:val="333333"/>
          <w:sz w:val="15"/>
          <w:szCs w:val="15"/>
          <w:lang w:eastAsia="bg-BG"/>
        </w:rPr>
        <w:br/>
        <w:t>1. е осъждано за умишлено престъпление от общ характер;</w:t>
      </w:r>
      <w:r w:rsidRPr="008B676B">
        <w:rPr>
          <w:rFonts w:ascii="Arial" w:eastAsia="Times New Roman" w:hAnsi="Arial" w:cs="Arial"/>
          <w:color w:val="333333"/>
          <w:sz w:val="15"/>
          <w:szCs w:val="15"/>
          <w:lang w:eastAsia="bg-BG"/>
        </w:rPr>
        <w:br/>
        <w:t>2. е обявено в несъстоятелност като едноличен търговец или като неограничено отговорен съдружник в търговско дружество или което се намира в производство за обявяване в несъстоятелност;</w:t>
      </w:r>
      <w:r w:rsidRPr="008B676B">
        <w:rPr>
          <w:rFonts w:ascii="Arial" w:eastAsia="Times New Roman" w:hAnsi="Arial" w:cs="Arial"/>
          <w:color w:val="333333"/>
          <w:sz w:val="15"/>
          <w:szCs w:val="15"/>
          <w:lang w:eastAsia="bg-BG"/>
        </w:rPr>
        <w:br/>
        <w:t>3. е било управител, член на управителен или контролен орган на дружество или кооперация, прекратени поради несъстоятелност през последните две години, предхождащи датата на обявяване на несъстоятелността, ако има неудовлетворени кредитори;</w:t>
      </w:r>
      <w:r w:rsidRPr="008B676B">
        <w:rPr>
          <w:rFonts w:ascii="Arial" w:eastAsia="Times New Roman" w:hAnsi="Arial" w:cs="Arial"/>
          <w:color w:val="333333"/>
          <w:sz w:val="15"/>
          <w:szCs w:val="15"/>
          <w:lang w:eastAsia="bg-BG"/>
        </w:rPr>
        <w:br/>
        <w:t>4. е лишено от право да заема материалноотговорна длъжност.</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6.</w:t>
      </w:r>
      <w:r w:rsidRPr="008B676B">
        <w:rPr>
          <w:rFonts w:ascii="Arial" w:eastAsia="Times New Roman" w:hAnsi="Arial" w:cs="Arial"/>
          <w:color w:val="333333"/>
          <w:sz w:val="15"/>
          <w:szCs w:val="15"/>
          <w:lang w:eastAsia="bg-BG"/>
        </w:rPr>
        <w:br/>
        <w:t>(1) Заложната къща трябва да разполага с търговско помещение, което включва помещение, където приема клиенти, и склад за съхраняване на заложените вещи.</w:t>
      </w:r>
      <w:r w:rsidRPr="008B676B">
        <w:rPr>
          <w:rFonts w:ascii="Arial" w:eastAsia="Times New Roman" w:hAnsi="Arial" w:cs="Arial"/>
          <w:color w:val="333333"/>
          <w:sz w:val="15"/>
          <w:szCs w:val="15"/>
          <w:lang w:eastAsia="bg-BG"/>
        </w:rPr>
        <w:br/>
        <w:t>(2) Търговското помещение и оборудването на заложната къща трябва да отговарят на изискванията за противопожарна безопасност, да са снабдени с охранителни камери и сигнално-охранителна техника (СОТ).</w:t>
      </w:r>
      <w:r w:rsidRPr="008B676B">
        <w:rPr>
          <w:rFonts w:ascii="Arial" w:eastAsia="Times New Roman" w:hAnsi="Arial" w:cs="Arial"/>
          <w:color w:val="333333"/>
          <w:sz w:val="15"/>
          <w:szCs w:val="15"/>
          <w:lang w:eastAsia="bg-BG"/>
        </w:rPr>
        <w:br/>
        <w:t>(3) В търговското помещение на заложната къща не може да се осъществява друг вид търговска дейност освен дейността по предоставяне на парични заеми, обезпечени със залог върху движими вещи.</w:t>
      </w:r>
      <w:r w:rsidRPr="008B676B">
        <w:rPr>
          <w:rFonts w:ascii="Arial" w:eastAsia="Times New Roman" w:hAnsi="Arial" w:cs="Arial"/>
          <w:color w:val="333333"/>
          <w:sz w:val="15"/>
          <w:szCs w:val="15"/>
          <w:lang w:eastAsia="bg-BG"/>
        </w:rPr>
        <w:br/>
        <w:t>(4) Заложната къща е длъжна да уведомява в подходящ срок всички свои клиенти, чиито вещи държи в момента, в случай на промяна на търговското си помещение.</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трета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ИЗИСКВАНИЯ КЪМ ДЕЙНОСТТА НА ЗАЛОЖНАТА КЪЩА</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t> </w:t>
      </w:r>
      <w:r w:rsidRPr="008B676B">
        <w:rPr>
          <w:rFonts w:ascii="Arial" w:eastAsia="Times New Roman" w:hAnsi="Arial" w:cs="Arial"/>
          <w:color w:val="333333"/>
          <w:sz w:val="15"/>
          <w:szCs w:val="15"/>
          <w:lang w:eastAsia="bg-BG"/>
        </w:rPr>
        <w:br/>
        <w:t>Чл. 7.</w:t>
      </w:r>
      <w:r w:rsidRPr="008B676B">
        <w:rPr>
          <w:rFonts w:ascii="Arial" w:eastAsia="Times New Roman" w:hAnsi="Arial" w:cs="Arial"/>
          <w:color w:val="333333"/>
          <w:sz w:val="15"/>
          <w:szCs w:val="15"/>
          <w:lang w:eastAsia="bg-BG"/>
        </w:rPr>
        <w:br/>
        <w:t>(1) Заложната къща се регистрира по реда на:</w:t>
      </w:r>
      <w:r w:rsidRPr="008B676B">
        <w:rPr>
          <w:rFonts w:ascii="Arial" w:eastAsia="Times New Roman" w:hAnsi="Arial" w:cs="Arial"/>
          <w:color w:val="333333"/>
          <w:sz w:val="15"/>
          <w:szCs w:val="15"/>
          <w:lang w:eastAsia="bg-BG"/>
        </w:rPr>
        <w:br/>
        <w:t>1. Търговския закон и Закона за търговския регистър;</w:t>
      </w:r>
      <w:r w:rsidRPr="008B676B">
        <w:rPr>
          <w:rFonts w:ascii="Arial" w:eastAsia="Times New Roman" w:hAnsi="Arial" w:cs="Arial"/>
          <w:color w:val="333333"/>
          <w:sz w:val="15"/>
          <w:szCs w:val="15"/>
          <w:lang w:eastAsia="bg-BG"/>
        </w:rPr>
        <w:br/>
        <w:t>2. член 13, ал. 2 от Валутния закон преди осъществяването на сделки с изделия от благородни метали и скъпоценни камъни.</w:t>
      </w:r>
      <w:r w:rsidRPr="008B676B">
        <w:rPr>
          <w:rFonts w:ascii="Arial" w:eastAsia="Times New Roman" w:hAnsi="Arial" w:cs="Arial"/>
          <w:color w:val="333333"/>
          <w:sz w:val="15"/>
          <w:szCs w:val="15"/>
          <w:lang w:eastAsia="bg-BG"/>
        </w:rPr>
        <w:br/>
        <w:t>(2) Заложната къща се вписва като администратор на лични данни по Закона за защита на личните данни.</w:t>
      </w:r>
      <w:r w:rsidRPr="008B676B">
        <w:rPr>
          <w:rFonts w:ascii="Arial" w:eastAsia="Times New Roman" w:hAnsi="Arial" w:cs="Arial"/>
          <w:color w:val="333333"/>
          <w:sz w:val="15"/>
          <w:szCs w:val="15"/>
          <w:lang w:eastAsia="bg-BG"/>
        </w:rPr>
        <w:br/>
        <w:t xml:space="preserve">(3) Заложната къща приема вътрешни правила за контрол и предотвратяване изпирането на пари. Във вътрешните правила се включват и критерии за разпознаване на съмнителни операции, сделки и клиенти, насочени към финансиране на тероризъм. Приетите вътрешни правила се утвърждават от председателя на Държавна агенция "Национална сигурност" след </w:t>
      </w:r>
      <w:r w:rsidRPr="008B676B">
        <w:rPr>
          <w:rFonts w:ascii="Arial" w:eastAsia="Times New Roman" w:hAnsi="Arial" w:cs="Arial"/>
          <w:color w:val="333333"/>
          <w:sz w:val="15"/>
          <w:szCs w:val="15"/>
          <w:lang w:eastAsia="bg-BG"/>
        </w:rPr>
        <w:lastRenderedPageBreak/>
        <w:t>представянето им по реда на чл. 16, ал. 3 от Закона за мерките срещу изпирането на пари.</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8. Заложната къща извършва дейността си по предоставяне на заеми срещу залог на движими вещи в съответствие с добрата търговска практика само в търговско помещение.</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9. Заложната къща излага на видно място в помещението, където приема клиенти, информацията по приложение № 1, изписана с големи и четливи букви.</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10.</w:t>
      </w:r>
      <w:r w:rsidRPr="008B676B">
        <w:rPr>
          <w:rFonts w:ascii="Arial" w:eastAsia="Times New Roman" w:hAnsi="Arial" w:cs="Arial"/>
          <w:color w:val="333333"/>
          <w:sz w:val="15"/>
          <w:szCs w:val="15"/>
          <w:lang w:eastAsia="bg-BG"/>
        </w:rPr>
        <w:br/>
        <w:t>(1) Заложната къща поддържа във всяко отделно търговско помещение регистър по образец съгласно приложение № 2 и изготвя ежедневно регистрационен опис на всички сключени от нея сделки по чл. 14.</w:t>
      </w:r>
      <w:r w:rsidRPr="008B676B">
        <w:rPr>
          <w:rFonts w:ascii="Arial" w:eastAsia="Times New Roman" w:hAnsi="Arial" w:cs="Arial"/>
          <w:color w:val="333333"/>
          <w:sz w:val="15"/>
          <w:szCs w:val="15"/>
          <w:lang w:eastAsia="bg-BG"/>
        </w:rPr>
        <w:br/>
        <w:t>(2) При сключването, съответно изпълнението, на всяка сделка по чл. 14 в регистъра по ал. 1 се въвежда следната информация:</w:t>
      </w:r>
      <w:r w:rsidRPr="008B676B">
        <w:rPr>
          <w:rFonts w:ascii="Arial" w:eastAsia="Times New Roman" w:hAnsi="Arial" w:cs="Arial"/>
          <w:color w:val="333333"/>
          <w:sz w:val="15"/>
          <w:szCs w:val="15"/>
          <w:lang w:eastAsia="bg-BG"/>
        </w:rPr>
        <w:br/>
        <w:t>1. данни за залогодателя - име, ЕГН/ЛНЧ, адресна регистрация, номер на документа за самоличност; за вписване на тези данни служителят на заложната къща изисква документа за самоличност на лицето;</w:t>
      </w:r>
      <w:r w:rsidRPr="008B676B">
        <w:rPr>
          <w:rFonts w:ascii="Arial" w:eastAsia="Times New Roman" w:hAnsi="Arial" w:cs="Arial"/>
          <w:color w:val="333333"/>
          <w:sz w:val="15"/>
          <w:szCs w:val="15"/>
          <w:lang w:eastAsia="bg-BG"/>
        </w:rPr>
        <w:br/>
        <w:t>2. данни за сключената сделка - номер и дата на сключване; размер на заетата сума; срок за връщане на заетата сума и за плащане на начислените лихви и такси;</w:t>
      </w:r>
      <w:r w:rsidRPr="008B676B">
        <w:rPr>
          <w:rFonts w:ascii="Arial" w:eastAsia="Times New Roman" w:hAnsi="Arial" w:cs="Arial"/>
          <w:color w:val="333333"/>
          <w:sz w:val="15"/>
          <w:szCs w:val="15"/>
          <w:lang w:eastAsia="bg-BG"/>
        </w:rPr>
        <w:br/>
        <w:t>3. данни за заложената/заложените вещ/вещи - точно и ясно описание на вещта, включително модел, марка, година на производство, сериен номер, ако има такъв; за моторни превозни средства - марка, модел, държавен регистрационен номер, номер на шасито и мотора, брой резервни гуми, показание на километража, за товарни автомобили - полезен товар, и документ за собственост;</w:t>
      </w:r>
      <w:r w:rsidRPr="008B676B">
        <w:rPr>
          <w:rFonts w:ascii="Arial" w:eastAsia="Times New Roman" w:hAnsi="Arial" w:cs="Arial"/>
          <w:color w:val="333333"/>
          <w:sz w:val="15"/>
          <w:szCs w:val="15"/>
          <w:lang w:eastAsia="bg-BG"/>
        </w:rPr>
        <w:br/>
        <w:t>4. данни за изпълнението на задълженията по сделката - дата и размер на плащанията, извършени от притежателя на заложния билет; вид на погасените задължения - за главница, лихви, такси; дата на предаване на заложената вещ на притежателя на заложния билет;</w:t>
      </w:r>
      <w:r w:rsidRPr="008B676B">
        <w:rPr>
          <w:rFonts w:ascii="Arial" w:eastAsia="Times New Roman" w:hAnsi="Arial" w:cs="Arial"/>
          <w:color w:val="333333"/>
          <w:sz w:val="15"/>
          <w:szCs w:val="15"/>
          <w:lang w:eastAsia="bg-BG"/>
        </w:rPr>
        <w:br/>
        <w:t>5. данни за удължаване срока на договора, ако има такова, и условията, при които е удължен;</w:t>
      </w:r>
      <w:r w:rsidRPr="008B676B">
        <w:rPr>
          <w:rFonts w:ascii="Arial" w:eastAsia="Times New Roman" w:hAnsi="Arial" w:cs="Arial"/>
          <w:color w:val="333333"/>
          <w:sz w:val="15"/>
          <w:szCs w:val="15"/>
          <w:lang w:eastAsia="bg-BG"/>
        </w:rPr>
        <w:br/>
        <w:t>6. данни за извършено прехвърляне на правата и задълженията по заложния билет.</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11.</w:t>
      </w:r>
      <w:r w:rsidRPr="008B676B">
        <w:rPr>
          <w:rFonts w:ascii="Arial" w:eastAsia="Times New Roman" w:hAnsi="Arial" w:cs="Arial"/>
          <w:color w:val="333333"/>
          <w:sz w:val="15"/>
          <w:szCs w:val="15"/>
          <w:lang w:eastAsia="bg-BG"/>
        </w:rPr>
        <w:br/>
        <w:t>(1) Заложната къща поддържа във всяко отделно търговско помещение регистър по образец съгласно приложение № 3 и изготвя регистрационен опис на извършените продажби на вещи, заложени в съответното търговско помещение.</w:t>
      </w:r>
      <w:r w:rsidRPr="008B676B">
        <w:rPr>
          <w:rFonts w:ascii="Arial" w:eastAsia="Times New Roman" w:hAnsi="Arial" w:cs="Arial"/>
          <w:color w:val="333333"/>
          <w:sz w:val="15"/>
          <w:szCs w:val="15"/>
          <w:lang w:eastAsia="bg-BG"/>
        </w:rPr>
        <w:br/>
        <w:t>(2) След извършването на всяка продажба в регистъра по ал. 1 незабавно се въвежда следната информация:</w:t>
      </w:r>
      <w:r w:rsidRPr="008B676B">
        <w:rPr>
          <w:rFonts w:ascii="Arial" w:eastAsia="Times New Roman" w:hAnsi="Arial" w:cs="Arial"/>
          <w:color w:val="333333"/>
          <w:sz w:val="15"/>
          <w:szCs w:val="15"/>
          <w:lang w:eastAsia="bg-BG"/>
        </w:rPr>
        <w:br/>
        <w:t>1. номер на заложния билет;</w:t>
      </w:r>
      <w:r w:rsidRPr="008B676B">
        <w:rPr>
          <w:rFonts w:ascii="Arial" w:eastAsia="Times New Roman" w:hAnsi="Arial" w:cs="Arial"/>
          <w:color w:val="333333"/>
          <w:sz w:val="15"/>
          <w:szCs w:val="15"/>
          <w:lang w:eastAsia="bg-BG"/>
        </w:rPr>
        <w:br/>
        <w:t>2. име, ЕГН/ЛНЧ и адресна регистрация на купувача;</w:t>
      </w:r>
      <w:r w:rsidRPr="008B676B">
        <w:rPr>
          <w:rFonts w:ascii="Arial" w:eastAsia="Times New Roman" w:hAnsi="Arial" w:cs="Arial"/>
          <w:color w:val="333333"/>
          <w:sz w:val="15"/>
          <w:szCs w:val="15"/>
          <w:lang w:eastAsia="bg-BG"/>
        </w:rPr>
        <w:br/>
        <w:t>3. дата и място на извършване на продажбата;</w:t>
      </w:r>
      <w:r w:rsidRPr="008B676B">
        <w:rPr>
          <w:rFonts w:ascii="Arial" w:eastAsia="Times New Roman" w:hAnsi="Arial" w:cs="Arial"/>
          <w:color w:val="333333"/>
          <w:sz w:val="15"/>
          <w:szCs w:val="15"/>
          <w:lang w:eastAsia="bg-BG"/>
        </w:rPr>
        <w:br/>
        <w:t>4. номер и дата на протокола, когато вещта е продадена по реда на чл. 160 от Закона за задълженията и договорите;</w:t>
      </w:r>
      <w:r w:rsidRPr="008B676B">
        <w:rPr>
          <w:rFonts w:ascii="Arial" w:eastAsia="Times New Roman" w:hAnsi="Arial" w:cs="Arial"/>
          <w:color w:val="333333"/>
          <w:sz w:val="15"/>
          <w:szCs w:val="15"/>
          <w:lang w:eastAsia="bg-BG"/>
        </w:rPr>
        <w:br/>
        <w:t>5. продажна цена;</w:t>
      </w:r>
      <w:r w:rsidRPr="008B676B">
        <w:rPr>
          <w:rFonts w:ascii="Arial" w:eastAsia="Times New Roman" w:hAnsi="Arial" w:cs="Arial"/>
          <w:color w:val="333333"/>
          <w:sz w:val="15"/>
          <w:szCs w:val="15"/>
          <w:lang w:eastAsia="bg-BG"/>
        </w:rPr>
        <w:br/>
        <w:t>6. размер на обезпеченото с продадената вещ задължение;</w:t>
      </w:r>
      <w:r w:rsidRPr="008B676B">
        <w:rPr>
          <w:rFonts w:ascii="Arial" w:eastAsia="Times New Roman" w:hAnsi="Arial" w:cs="Arial"/>
          <w:color w:val="333333"/>
          <w:sz w:val="15"/>
          <w:szCs w:val="15"/>
          <w:lang w:eastAsia="bg-BG"/>
        </w:rPr>
        <w:br/>
        <w:t>7. размер на остатъка от цената след приспадане на обезпеченото задължение.</w:t>
      </w:r>
      <w:r w:rsidRPr="008B676B">
        <w:rPr>
          <w:rFonts w:ascii="Arial" w:eastAsia="Times New Roman" w:hAnsi="Arial" w:cs="Arial"/>
          <w:color w:val="333333"/>
          <w:sz w:val="15"/>
          <w:szCs w:val="15"/>
          <w:lang w:eastAsia="bg-BG"/>
        </w:rPr>
        <w:br/>
        <w:t>(3) След извършване на продажбата заложната къща незабавно изпраща писмено уведомление за това до притежателя на заложния билет.</w:t>
      </w:r>
      <w:r w:rsidRPr="008B676B">
        <w:rPr>
          <w:rFonts w:ascii="Arial" w:eastAsia="Times New Roman" w:hAnsi="Arial" w:cs="Arial"/>
          <w:color w:val="333333"/>
          <w:sz w:val="15"/>
          <w:szCs w:val="15"/>
          <w:lang w:eastAsia="bg-BG"/>
        </w:rPr>
        <w:br/>
        <w:t>(4) Притежателят на заложния билет може в срок една година от уведомлението за продажбата на вещта да иска от заложната къща да му предостави безплатно информация от регистъра по ал. 1 и от протокола по ал. 2, т. 4, за да извършва справки относно продажбата на заложената от него вещ, както и да му бъде направено извлечение от регистъра.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12. Всички документи, които се съставят съгласно наредбата, се пазят от заложната къща за срок 5 години от приключване на сделките, описани в тях, освен ако със закон се изисква пазенето им за по-дълъг срок.</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13.</w:t>
      </w:r>
      <w:r w:rsidRPr="008B676B">
        <w:rPr>
          <w:rFonts w:ascii="Arial" w:eastAsia="Times New Roman" w:hAnsi="Arial" w:cs="Arial"/>
          <w:color w:val="333333"/>
          <w:sz w:val="15"/>
          <w:szCs w:val="15"/>
          <w:lang w:eastAsia="bg-BG"/>
        </w:rPr>
        <w:br/>
        <w:t>(1) Когато при сключването на сделка по чл. 14 се приемат в залог уникално идентифицируеми вещи, представител на заложната къща попълва електронна регистрационна форма по образец, утвърден от министъра на вътрешните работи, даваща възможност вещта да се идентифицира въпреки липсата на марка, модел, сериен номер и др., включително чрез заснемането с цифров фотоапарат на заложената вещ и трайните вторични белези, способстващи за нейната индивидуализация.</w:t>
      </w:r>
      <w:r w:rsidRPr="008B676B">
        <w:rPr>
          <w:rFonts w:ascii="Arial" w:eastAsia="Times New Roman" w:hAnsi="Arial" w:cs="Arial"/>
          <w:color w:val="333333"/>
          <w:sz w:val="15"/>
          <w:szCs w:val="15"/>
          <w:lang w:eastAsia="bg-BG"/>
        </w:rPr>
        <w:br/>
        <w:t>(2) Електронната регистрационна форма по ал. 1 е електронен документ по смисъла на чл. 3, ал. 1 от Закона за електронния документ и електронния подпис.</w:t>
      </w:r>
      <w:r w:rsidRPr="008B676B">
        <w:rPr>
          <w:rFonts w:ascii="Arial" w:eastAsia="Times New Roman" w:hAnsi="Arial" w:cs="Arial"/>
          <w:color w:val="333333"/>
          <w:sz w:val="15"/>
          <w:szCs w:val="15"/>
          <w:lang w:eastAsia="bg-BG"/>
        </w:rPr>
        <w:br/>
        <w:t>(3) Електронната регистрационна форма по ал. 1 се изпраща до края на работния ден, следващ деня на сключване на сделката, по интернет и се пренася за обработка до автоматизираната информационна система, изградена и поддържана от Министерството на вътрешните работи.</w:t>
      </w:r>
      <w:r w:rsidRPr="008B676B">
        <w:rPr>
          <w:rFonts w:ascii="Arial" w:eastAsia="Times New Roman" w:hAnsi="Arial" w:cs="Arial"/>
          <w:color w:val="333333"/>
          <w:sz w:val="15"/>
          <w:szCs w:val="15"/>
          <w:lang w:eastAsia="bg-BG"/>
        </w:rPr>
        <w:br/>
        <w:t>(4) Информацията по ал. 1 се съхранява на съответен носител най-малко една година от сключването на сделката.</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четвърта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ОСОБЕНИ ПРАВИЛА ЗА СДЕЛКИТЕ, СКЛЮЧВАНИ ОТ ЗАЛОЖНАТА КЪЩА</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t> </w:t>
      </w:r>
      <w:r w:rsidRPr="008B676B">
        <w:rPr>
          <w:rFonts w:ascii="Arial" w:eastAsia="Times New Roman" w:hAnsi="Arial" w:cs="Arial"/>
          <w:color w:val="333333"/>
          <w:sz w:val="15"/>
          <w:szCs w:val="15"/>
          <w:lang w:eastAsia="bg-BG"/>
        </w:rPr>
        <w:br/>
        <w:t>Чл. 14.</w:t>
      </w:r>
      <w:r w:rsidRPr="008B676B">
        <w:rPr>
          <w:rFonts w:ascii="Arial" w:eastAsia="Times New Roman" w:hAnsi="Arial" w:cs="Arial"/>
          <w:color w:val="333333"/>
          <w:sz w:val="15"/>
          <w:szCs w:val="15"/>
          <w:lang w:eastAsia="bg-BG"/>
        </w:rPr>
        <w:br/>
        <w:t>(1) Заложната къща сключва със заемателя договор, с който му предоставя паричен заем, обезпечен със залог върху движима вещ, а заемателят се задължава да върне заетата парична сума и да плати уговорените лихви и такси.</w:t>
      </w:r>
      <w:r w:rsidRPr="008B676B">
        <w:rPr>
          <w:rFonts w:ascii="Arial" w:eastAsia="Times New Roman" w:hAnsi="Arial" w:cs="Arial"/>
          <w:color w:val="333333"/>
          <w:sz w:val="15"/>
          <w:szCs w:val="15"/>
          <w:lang w:eastAsia="bg-BG"/>
        </w:rPr>
        <w:br/>
        <w:t>(2) Договорът между заложната къща и заемателя се сключва във формата на заложен билет по образец съгласно приложение № 4. Заложният билет се оформя в два еднообразни екземпляра - по един за заложната къща и за заемателя.</w:t>
      </w:r>
      <w:r w:rsidRPr="008B676B">
        <w:rPr>
          <w:rFonts w:ascii="Arial" w:eastAsia="Times New Roman" w:hAnsi="Arial" w:cs="Arial"/>
          <w:color w:val="333333"/>
          <w:sz w:val="15"/>
          <w:szCs w:val="15"/>
          <w:lang w:eastAsia="bg-BG"/>
        </w:rPr>
        <w:br/>
        <w:t>(3) При сключването на договора залогодателят попълва декларация по образец съгласно приложение № 5.</w:t>
      </w:r>
      <w:r w:rsidRPr="008B676B">
        <w:rPr>
          <w:rFonts w:ascii="Arial" w:eastAsia="Times New Roman" w:hAnsi="Arial" w:cs="Arial"/>
          <w:color w:val="333333"/>
          <w:sz w:val="15"/>
          <w:szCs w:val="15"/>
          <w:lang w:eastAsia="bg-BG"/>
        </w:rPr>
        <w:br/>
        <w:t>(4) За даване в залог на чужда вещ в заложна къща се изисква изрично писмено пълномощно от собственика на вещта с нотариална заверка на подписа и съдържанието.</w:t>
      </w:r>
      <w:r w:rsidRPr="008B676B">
        <w:rPr>
          <w:rFonts w:ascii="Arial" w:eastAsia="Times New Roman" w:hAnsi="Arial" w:cs="Arial"/>
          <w:color w:val="333333"/>
          <w:sz w:val="15"/>
          <w:szCs w:val="15"/>
          <w:lang w:eastAsia="bg-BG"/>
        </w:rPr>
        <w:br/>
        <w:t>(5) За даване в залог на моторно превозно средство в заложна къща се изисква нотариално заверен препис от документа за собственост или от друг документ, от който произтича правото на разпореждане на залогодателя.</w:t>
      </w:r>
      <w:r w:rsidRPr="008B676B">
        <w:rPr>
          <w:rFonts w:ascii="Arial" w:eastAsia="Times New Roman" w:hAnsi="Arial" w:cs="Arial"/>
          <w:color w:val="333333"/>
          <w:sz w:val="15"/>
          <w:szCs w:val="15"/>
          <w:lang w:eastAsia="bg-BG"/>
        </w:rPr>
        <w:br/>
        <w:t>(6) Заложената движима вещ се предава на заложната къща.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15. Заложната къща не може да приема като обезпечение:</w:t>
      </w:r>
      <w:r w:rsidRPr="008B676B">
        <w:rPr>
          <w:rFonts w:ascii="Arial" w:eastAsia="Times New Roman" w:hAnsi="Arial" w:cs="Arial"/>
          <w:color w:val="333333"/>
          <w:sz w:val="15"/>
          <w:szCs w:val="15"/>
          <w:lang w:eastAsia="bg-BG"/>
        </w:rPr>
        <w:br/>
        <w:t>1. изделия от благородни метали, които не притежават държавна марка (титър) за съдържанието на благородни метали в сплавта, и скъпоценни камъни, които не са придружени със сертификат за идентичност и качество; изискването за държавна марка не се отнася за изделията от платина;</w:t>
      </w:r>
      <w:r w:rsidRPr="008B676B">
        <w:rPr>
          <w:rFonts w:ascii="Arial" w:eastAsia="Times New Roman" w:hAnsi="Arial" w:cs="Arial"/>
          <w:color w:val="333333"/>
          <w:sz w:val="15"/>
          <w:szCs w:val="15"/>
          <w:lang w:eastAsia="bg-BG"/>
        </w:rPr>
        <w:br/>
        <w:t>2. необработени диаманти, освен в случаите, когато са придружени със сертификат по Кимбърлийския процес;</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lastRenderedPageBreak/>
        <w:t>3. вещи, които не отговарят на изискванията на специални закони за търговия с тях.</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16.</w:t>
      </w:r>
      <w:r w:rsidRPr="008B676B">
        <w:rPr>
          <w:rFonts w:ascii="Arial" w:eastAsia="Times New Roman" w:hAnsi="Arial" w:cs="Arial"/>
          <w:color w:val="333333"/>
          <w:sz w:val="15"/>
          <w:szCs w:val="15"/>
          <w:lang w:eastAsia="bg-BG"/>
        </w:rPr>
        <w:br/>
        <w:t>(1) В случай на изгубване, унищожаване или кражба на заложен билет притежателят му незабавно уведомява заложната къща.</w:t>
      </w:r>
      <w:r w:rsidRPr="008B676B">
        <w:rPr>
          <w:rFonts w:ascii="Arial" w:eastAsia="Times New Roman" w:hAnsi="Arial" w:cs="Arial"/>
          <w:color w:val="333333"/>
          <w:sz w:val="15"/>
          <w:szCs w:val="15"/>
          <w:lang w:eastAsia="bg-BG"/>
        </w:rPr>
        <w:br/>
        <w:t>(2) Представител на заложната къща съставя протокол, който се подписва от него и от притежателя на заложния билет, и оформя нов заложен билет, върху който има надпис "Дубликат".</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17.</w:t>
      </w:r>
      <w:r w:rsidRPr="008B676B">
        <w:rPr>
          <w:rFonts w:ascii="Arial" w:eastAsia="Times New Roman" w:hAnsi="Arial" w:cs="Arial"/>
          <w:color w:val="333333"/>
          <w:sz w:val="15"/>
          <w:szCs w:val="15"/>
          <w:lang w:eastAsia="bg-BG"/>
        </w:rPr>
        <w:br/>
        <w:t>(1) Притежателят на заложния билет може да прехвърля правата и задълженията по него чрез предаването му след вписване на прехвърлянето в регистъра на заложната къща по чл. 10. Вписването на прехвърлянето се извършва по искане и в присъствие на прехвърлителя.</w:t>
      </w:r>
      <w:r w:rsidRPr="008B676B">
        <w:rPr>
          <w:rFonts w:ascii="Arial" w:eastAsia="Times New Roman" w:hAnsi="Arial" w:cs="Arial"/>
          <w:color w:val="333333"/>
          <w:sz w:val="15"/>
          <w:szCs w:val="15"/>
          <w:lang w:eastAsia="bg-BG"/>
        </w:rPr>
        <w:br/>
        <w:t>(2) За доказване на постигнатото между страните съгласие за извършване на прехвърлянето се подписва протокол, данните от който се вписват в регистъра.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18.</w:t>
      </w:r>
      <w:r w:rsidRPr="008B676B">
        <w:rPr>
          <w:rFonts w:ascii="Arial" w:eastAsia="Times New Roman" w:hAnsi="Arial" w:cs="Arial"/>
          <w:color w:val="333333"/>
          <w:sz w:val="15"/>
          <w:szCs w:val="15"/>
          <w:lang w:eastAsia="bg-BG"/>
        </w:rPr>
        <w:br/>
        <w:t>(1) Заложната къща не може да уговаря месечен размер на лихва по заемите, по-голям от:</w:t>
      </w:r>
      <w:r w:rsidRPr="008B676B">
        <w:rPr>
          <w:rFonts w:ascii="Arial" w:eastAsia="Times New Roman" w:hAnsi="Arial" w:cs="Arial"/>
          <w:color w:val="333333"/>
          <w:sz w:val="15"/>
          <w:szCs w:val="15"/>
          <w:lang w:eastAsia="bg-BG"/>
        </w:rPr>
        <w:br/>
        <w:t>1. три на сто - за заеми в левове;</w:t>
      </w:r>
      <w:r w:rsidRPr="008B676B">
        <w:rPr>
          <w:rFonts w:ascii="Arial" w:eastAsia="Times New Roman" w:hAnsi="Arial" w:cs="Arial"/>
          <w:color w:val="333333"/>
          <w:sz w:val="15"/>
          <w:szCs w:val="15"/>
          <w:lang w:eastAsia="bg-BG"/>
        </w:rPr>
        <w:br/>
        <w:t>2. три на сто - за заеми в чужда валута.</w:t>
      </w:r>
      <w:r w:rsidRPr="008B676B">
        <w:rPr>
          <w:rFonts w:ascii="Arial" w:eastAsia="Times New Roman" w:hAnsi="Arial" w:cs="Arial"/>
          <w:color w:val="333333"/>
          <w:sz w:val="15"/>
          <w:szCs w:val="15"/>
          <w:lang w:eastAsia="bg-BG"/>
        </w:rPr>
        <w:br/>
        <w:t>(2) Заложната къща не може да уговаря олихвяването на изтекли лихви.</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19.</w:t>
      </w:r>
      <w:r w:rsidRPr="008B676B">
        <w:rPr>
          <w:rFonts w:ascii="Arial" w:eastAsia="Times New Roman" w:hAnsi="Arial" w:cs="Arial"/>
          <w:color w:val="333333"/>
          <w:sz w:val="15"/>
          <w:szCs w:val="15"/>
          <w:lang w:eastAsia="bg-BG"/>
        </w:rPr>
        <w:br/>
        <w:t>(1) Заложната къща пази приетите в залог движими вещи с грижата на добър търговец, като взема всички необходими мерки за осигуряване на целостта и изправността им, както и за защитата им от посегателства на трети лица.</w:t>
      </w:r>
      <w:r w:rsidRPr="008B676B">
        <w:rPr>
          <w:rFonts w:ascii="Arial" w:eastAsia="Times New Roman" w:hAnsi="Arial" w:cs="Arial"/>
          <w:color w:val="333333"/>
          <w:sz w:val="15"/>
          <w:szCs w:val="15"/>
          <w:lang w:eastAsia="bg-BG"/>
        </w:rPr>
        <w:br/>
        <w:t>(2) Съхраняването на приетите в залог вещи се извършва само в помещението на заложната къща.</w:t>
      </w:r>
      <w:r w:rsidRPr="008B676B">
        <w:rPr>
          <w:rFonts w:ascii="Arial" w:eastAsia="Times New Roman" w:hAnsi="Arial" w:cs="Arial"/>
          <w:color w:val="333333"/>
          <w:sz w:val="15"/>
          <w:szCs w:val="15"/>
          <w:lang w:eastAsia="bg-BG"/>
        </w:rPr>
        <w:br/>
        <w:t>(3) Всяка вещ се съхранява в отделна опаковка, върху която е изписан номерът на заложния билет.</w:t>
      </w:r>
      <w:r w:rsidRPr="008B676B">
        <w:rPr>
          <w:rFonts w:ascii="Arial" w:eastAsia="Times New Roman" w:hAnsi="Arial" w:cs="Arial"/>
          <w:color w:val="333333"/>
          <w:sz w:val="15"/>
          <w:szCs w:val="15"/>
          <w:lang w:eastAsia="bg-BG"/>
        </w:rPr>
        <w:br/>
        <w:t>(4) Съхраняването на приетите в залог моторни превозни средства се извършва в охраняем паркинг.</w:t>
      </w:r>
      <w:r w:rsidRPr="008B676B">
        <w:rPr>
          <w:rFonts w:ascii="Arial" w:eastAsia="Times New Roman" w:hAnsi="Arial" w:cs="Arial"/>
          <w:color w:val="333333"/>
          <w:sz w:val="15"/>
          <w:szCs w:val="15"/>
          <w:lang w:eastAsia="bg-BG"/>
        </w:rPr>
        <w:br/>
        <w:t>(5) Съхраняването на приетите в залог ценности се извършва съгласно изискванията на действащото законодателство.</w:t>
      </w:r>
      <w:r w:rsidRPr="008B676B">
        <w:rPr>
          <w:rFonts w:ascii="Arial" w:eastAsia="Times New Roman" w:hAnsi="Arial" w:cs="Arial"/>
          <w:color w:val="333333"/>
          <w:sz w:val="15"/>
          <w:szCs w:val="15"/>
          <w:lang w:eastAsia="bg-BG"/>
        </w:rPr>
        <w:br/>
        <w:t>(6) Заложната къща не може да си служи със заложените вещи, които държи.</w:t>
      </w:r>
      <w:r w:rsidRPr="008B676B">
        <w:rPr>
          <w:rFonts w:ascii="Arial" w:eastAsia="Times New Roman" w:hAnsi="Arial" w:cs="Arial"/>
          <w:color w:val="333333"/>
          <w:sz w:val="15"/>
          <w:szCs w:val="15"/>
          <w:lang w:eastAsia="bg-BG"/>
        </w:rPr>
        <w:br/>
        <w:t>(7) Заложната къща дължи обезщетение на залогодателя при повреждане или унищожаване на заложената вещ, освен ако докаже, че повреждането или унищожаването се дължат на непреодолима сила.</w:t>
      </w:r>
      <w:r w:rsidRPr="008B676B">
        <w:rPr>
          <w:rFonts w:ascii="Arial" w:eastAsia="Times New Roman" w:hAnsi="Arial" w:cs="Arial"/>
          <w:color w:val="333333"/>
          <w:sz w:val="15"/>
          <w:szCs w:val="15"/>
          <w:lang w:eastAsia="bg-BG"/>
        </w:rPr>
        <w:br/>
        <w:t>(8) Заложната къща незабавно уведомява залогодателя при повреда, унищожаване или посегателства от трети лица върху заложената вещ, както и при възникване на опасност за това.</w:t>
      </w:r>
      <w:r w:rsidRPr="008B676B">
        <w:rPr>
          <w:rFonts w:ascii="Arial" w:eastAsia="Times New Roman" w:hAnsi="Arial" w:cs="Arial"/>
          <w:color w:val="333333"/>
          <w:sz w:val="15"/>
          <w:szCs w:val="15"/>
          <w:lang w:eastAsia="bg-BG"/>
        </w:rPr>
        <w:br/>
        <w:t>(9) Залогодателят може по всяко време да прави проверка по документи или по друг начин за наличието, състоянието и условията за съхранение на заложената от него вещ.</w:t>
      </w:r>
      <w:r w:rsidRPr="008B676B">
        <w:rPr>
          <w:rFonts w:ascii="Arial" w:eastAsia="Times New Roman" w:hAnsi="Arial" w:cs="Arial"/>
          <w:color w:val="333333"/>
          <w:sz w:val="15"/>
          <w:szCs w:val="15"/>
          <w:lang w:eastAsia="bg-BG"/>
        </w:rPr>
        <w:br/>
        <w:t>(10) Ако вследствие на нарушение на ал. 1 - 5 или 6 възникне опасност от унищожаване, повреждане или посегателства от трети лица върху заложената вещ, залогодателят има право да иска тя да му бъде върната веднага. В този случай останалите уговорки от договора остават в сила.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20.</w:t>
      </w:r>
      <w:r w:rsidRPr="008B676B">
        <w:rPr>
          <w:rFonts w:ascii="Arial" w:eastAsia="Times New Roman" w:hAnsi="Arial" w:cs="Arial"/>
          <w:color w:val="333333"/>
          <w:sz w:val="15"/>
          <w:szCs w:val="15"/>
          <w:lang w:eastAsia="bg-BG"/>
        </w:rPr>
        <w:br/>
        <w:t>(1) Заложната къща не може да уговаря задължение за плащане на част от дължимата главница, лихви или такси преди изтичането на срока за връщане на заетата сума.</w:t>
      </w:r>
      <w:r w:rsidRPr="008B676B">
        <w:rPr>
          <w:rFonts w:ascii="Arial" w:eastAsia="Times New Roman" w:hAnsi="Arial" w:cs="Arial"/>
          <w:color w:val="333333"/>
          <w:sz w:val="15"/>
          <w:szCs w:val="15"/>
          <w:lang w:eastAsia="bg-BG"/>
        </w:rPr>
        <w:br/>
        <w:t>(2) Ако до изтичането на срока за връщане на заетата сума притежателят на заложния билет плати всички дължими до момента лихви и такси, срокът на заема се удължава с период, равен на изтеклия период от договора. В този случай заложната къща не може да откаже да приеме плащането.</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21.</w:t>
      </w:r>
      <w:r w:rsidRPr="008B676B">
        <w:rPr>
          <w:rFonts w:ascii="Arial" w:eastAsia="Times New Roman" w:hAnsi="Arial" w:cs="Arial"/>
          <w:color w:val="333333"/>
          <w:sz w:val="15"/>
          <w:szCs w:val="15"/>
          <w:lang w:eastAsia="bg-BG"/>
        </w:rPr>
        <w:br/>
        <w:t>(1) Когато притежателят на заложен билет върне заетата сума и плати всички начислени до момента лихви и такси на заложната къща, тя веднага му предава вещта, с която е обезпечено изпълненото задължение.</w:t>
      </w:r>
      <w:r w:rsidRPr="008B676B">
        <w:rPr>
          <w:rFonts w:ascii="Arial" w:eastAsia="Times New Roman" w:hAnsi="Arial" w:cs="Arial"/>
          <w:color w:val="333333"/>
          <w:sz w:val="15"/>
          <w:szCs w:val="15"/>
          <w:lang w:eastAsia="bg-BG"/>
        </w:rPr>
        <w:br/>
        <w:t>(2) Плащането по ал. 1 може да се извърши от притежателя на заложния билет предсрочно. В този случай заложната къща не може да увеличава лихвите или да начислява допълнителни такси на основание на предсрочното изпълнение.</w:t>
      </w:r>
      <w:r w:rsidRPr="008B676B">
        <w:rPr>
          <w:rFonts w:ascii="Arial" w:eastAsia="Times New Roman" w:hAnsi="Arial" w:cs="Arial"/>
          <w:color w:val="333333"/>
          <w:sz w:val="15"/>
          <w:szCs w:val="15"/>
          <w:lang w:eastAsia="bg-BG"/>
        </w:rPr>
        <w:br/>
        <w:t>(3) Върху екземпляра от заложния билет, принадлежащ на заемателя, се прави отбелязване, че заложената вещ му е предадена, и той се подписва под отбелязването.</w:t>
      </w:r>
      <w:r w:rsidRPr="008B676B">
        <w:rPr>
          <w:rFonts w:ascii="Arial" w:eastAsia="Times New Roman" w:hAnsi="Arial" w:cs="Arial"/>
          <w:color w:val="333333"/>
          <w:sz w:val="15"/>
          <w:szCs w:val="15"/>
          <w:lang w:eastAsia="bg-BG"/>
        </w:rPr>
        <w:br/>
        <w:t>(4) За всяко извършено плащане заложната къща издава на платеца разписка, която съдържа дата, размер на платената сума, вид на изпълненото задължение - за главница, лихви, такси, и подпис на служителя на заложната къща, приел плащането.</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22.</w:t>
      </w:r>
      <w:r w:rsidRPr="008B676B">
        <w:rPr>
          <w:rFonts w:ascii="Arial" w:eastAsia="Times New Roman" w:hAnsi="Arial" w:cs="Arial"/>
          <w:color w:val="333333"/>
          <w:sz w:val="15"/>
          <w:szCs w:val="15"/>
          <w:lang w:eastAsia="bg-BG"/>
        </w:rPr>
        <w:br/>
        <w:t>(1) Ако задължението за връщане на заетата сума не бъде изпълнено в уговорения срок, заложната къща задържа заложената вещ за период 7 работни дни след настъпването на този срок. В рамките на този срок заложната къща съхранява вещта в помещението, в което вещта е била приета в залог, и не може да се разпорежда с нея.</w:t>
      </w:r>
      <w:r w:rsidRPr="008B676B">
        <w:rPr>
          <w:rFonts w:ascii="Arial" w:eastAsia="Times New Roman" w:hAnsi="Arial" w:cs="Arial"/>
          <w:color w:val="333333"/>
          <w:sz w:val="15"/>
          <w:szCs w:val="15"/>
          <w:lang w:eastAsia="bg-BG"/>
        </w:rPr>
        <w:br/>
        <w:t>(2) До изтичането на срока по ал. 1 се запазва правото на притежателя на заложния билет да върне заетата сума и да плати всички начислени до момента лихви и такси, при което да иска да му бъде предадена вещта, с която е обезпечено изпълненото задължение.</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23.</w:t>
      </w:r>
      <w:r w:rsidRPr="008B676B">
        <w:rPr>
          <w:rFonts w:ascii="Arial" w:eastAsia="Times New Roman" w:hAnsi="Arial" w:cs="Arial"/>
          <w:color w:val="333333"/>
          <w:sz w:val="15"/>
          <w:szCs w:val="15"/>
          <w:lang w:eastAsia="bg-BG"/>
        </w:rPr>
        <w:br/>
        <w:t>(1) След изтичането на срока по чл. 22, ал. 1 заложната къща може да продаде сама заложената вещ, ако заложната й цена е под 5000 лв., и да се удовлетвори предпочтително от цената й.</w:t>
      </w:r>
      <w:r w:rsidRPr="008B676B">
        <w:rPr>
          <w:rFonts w:ascii="Arial" w:eastAsia="Times New Roman" w:hAnsi="Arial" w:cs="Arial"/>
          <w:color w:val="333333"/>
          <w:sz w:val="15"/>
          <w:szCs w:val="15"/>
          <w:lang w:eastAsia="bg-BG"/>
        </w:rPr>
        <w:br/>
        <w:t>(2) Заложната къща не може да придобива собственост върху вещи, подлежащи на продажба по реда на ал. 1.</w:t>
      </w:r>
      <w:r w:rsidRPr="008B676B">
        <w:rPr>
          <w:rFonts w:ascii="Arial" w:eastAsia="Times New Roman" w:hAnsi="Arial" w:cs="Arial"/>
          <w:color w:val="333333"/>
          <w:sz w:val="15"/>
          <w:szCs w:val="15"/>
          <w:lang w:eastAsia="bg-BG"/>
        </w:rPr>
        <w:br/>
        <w:t>(3) Правото на собственост върху заложената вещ преминава върху купувача от момента на продажбата.</w:t>
      </w:r>
      <w:r w:rsidRPr="008B676B">
        <w:rPr>
          <w:rFonts w:ascii="Arial" w:eastAsia="Times New Roman" w:hAnsi="Arial" w:cs="Arial"/>
          <w:color w:val="333333"/>
          <w:sz w:val="15"/>
          <w:szCs w:val="15"/>
          <w:lang w:eastAsia="bg-BG"/>
        </w:rPr>
        <w:br/>
        <w:t>(4) Когато законът изисква прехвърлянето на собствеността върху вещта да се извърши в особена форма, упълномощен представител на заложната къща извършва продажбата при спазването на тази форма. В този случай разходите по прехвърлянето са за сметка на купувача.</w:t>
      </w:r>
      <w:r w:rsidRPr="008B676B">
        <w:rPr>
          <w:rFonts w:ascii="Arial" w:eastAsia="Times New Roman" w:hAnsi="Arial" w:cs="Arial"/>
          <w:color w:val="333333"/>
          <w:sz w:val="15"/>
          <w:szCs w:val="15"/>
          <w:lang w:eastAsia="bg-BG"/>
        </w:rPr>
        <w:br/>
        <w:t>(5) Заложната къща не може да начислява разходи за извършената продажба, когато тя е по реда на ал. 1.</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24.</w:t>
      </w:r>
      <w:r w:rsidRPr="008B676B">
        <w:rPr>
          <w:rFonts w:ascii="Arial" w:eastAsia="Times New Roman" w:hAnsi="Arial" w:cs="Arial"/>
          <w:color w:val="333333"/>
          <w:sz w:val="15"/>
          <w:szCs w:val="15"/>
          <w:lang w:eastAsia="bg-BG"/>
        </w:rPr>
        <w:br/>
        <w:t>(1) Заложната къща излага вещите, подлежащи на продажба по реда на чл. 23, в помещението, където приема клиенти, и ги съхранява отделно от вещите, за които не е изтекъл срокът по чл. 22, ал. 1.</w:t>
      </w:r>
      <w:r w:rsidRPr="008B676B">
        <w:rPr>
          <w:rFonts w:ascii="Arial" w:eastAsia="Times New Roman" w:hAnsi="Arial" w:cs="Arial"/>
          <w:color w:val="333333"/>
          <w:sz w:val="15"/>
          <w:szCs w:val="15"/>
          <w:lang w:eastAsia="bg-BG"/>
        </w:rPr>
        <w:br/>
        <w:t>(2) Заложната къща не може да излага за продажба в търговското си помещение вещи, които не са й били дадени в залог.</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25.</w:t>
      </w:r>
      <w:r w:rsidRPr="008B676B">
        <w:rPr>
          <w:rFonts w:ascii="Arial" w:eastAsia="Times New Roman" w:hAnsi="Arial" w:cs="Arial"/>
          <w:color w:val="333333"/>
          <w:sz w:val="15"/>
          <w:szCs w:val="15"/>
          <w:lang w:eastAsia="bg-BG"/>
        </w:rPr>
        <w:br/>
        <w:t>(1) Притежателят на заложния билет може да предяви иск срещу заложната къща, ако счита, че тя е продала вещта по реда на чл. 23 на цена, по-ниска от пазарната.</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lastRenderedPageBreak/>
        <w:t>(2) Искът по ал. 1 може да се предяви в едногодишен срок от извършване на продажбата на заложената вещ.</w:t>
      </w:r>
      <w:r w:rsidRPr="008B676B">
        <w:rPr>
          <w:rFonts w:ascii="Arial" w:eastAsia="Times New Roman" w:hAnsi="Arial" w:cs="Arial"/>
          <w:color w:val="333333"/>
          <w:sz w:val="15"/>
          <w:szCs w:val="15"/>
          <w:lang w:eastAsia="bg-BG"/>
        </w:rPr>
        <w:br/>
        <w:t>(3) Ако съдът установи, че пазарната цена на заложената вещ е по-висока от цената, на която е продадена по реда на чл. 23, заложната къща дължи на притежателя на заложния билет разликата между установената от съда пазарна цена и обезпеченото с нея парично задължение след приспадане на изплатената сума по чл. 27, ал. 2.</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26. Удовлетворяването на заложната къща от цената на заложена вещ с пазарна цена над 5000 лв. се извършва съгласно чл. 160 от Закона за задълженията и договорите.</w:t>
      </w:r>
      <w:r w:rsidRPr="008B676B">
        <w:rPr>
          <w:rFonts w:ascii="Arial" w:eastAsia="Times New Roman" w:hAnsi="Arial" w:cs="Arial"/>
          <w:color w:val="333333"/>
          <w:sz w:val="15"/>
          <w:szCs w:val="15"/>
          <w:lang w:eastAsia="bg-BG"/>
        </w:rPr>
        <w:br/>
        <w:t> </w:t>
      </w:r>
      <w:r w:rsidRPr="008B676B">
        <w:rPr>
          <w:rFonts w:ascii="Arial" w:eastAsia="Times New Roman" w:hAnsi="Arial" w:cs="Arial"/>
          <w:color w:val="333333"/>
          <w:sz w:val="15"/>
          <w:szCs w:val="15"/>
          <w:lang w:eastAsia="bg-BG"/>
        </w:rPr>
        <w:br/>
        <w:t>Чл. 27.</w:t>
      </w:r>
      <w:r w:rsidRPr="008B676B">
        <w:rPr>
          <w:rFonts w:ascii="Arial" w:eastAsia="Times New Roman" w:hAnsi="Arial" w:cs="Arial"/>
          <w:color w:val="333333"/>
          <w:sz w:val="15"/>
          <w:szCs w:val="15"/>
          <w:lang w:eastAsia="bg-BG"/>
        </w:rPr>
        <w:br/>
        <w:t>(1) С осъществяването на продажбата на заложената вещ се погасяват всички обезпечени с нея парични задължения на заемателя към заложната къща, дори ако общият им размер е по-голям от получената цена.</w:t>
      </w:r>
      <w:r w:rsidRPr="008B676B">
        <w:rPr>
          <w:rFonts w:ascii="Arial" w:eastAsia="Times New Roman" w:hAnsi="Arial" w:cs="Arial"/>
          <w:color w:val="333333"/>
          <w:sz w:val="15"/>
          <w:szCs w:val="15"/>
          <w:lang w:eastAsia="bg-BG"/>
        </w:rPr>
        <w:br/>
        <w:t>(2) Ако получената за вещта цена е по-голяма от обезпеченото с нея парично задължение и направените разходи за продажбата, заложната къща уведомява заемателя и в срок до 30 дни изплаща разликата на притежателя на заложния билет.</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28. За неуредените в тази глава положения относно договора между заложната къща и заемателя се прилагат разпоредбите на гражданското законодателство.</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пета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КОНТРОЛ ВЪРХУ ДЕЙНОСТТА НА ЗАЛОЖНИТЕ КЪЩИ</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t> </w:t>
      </w:r>
      <w:r w:rsidRPr="008B676B">
        <w:rPr>
          <w:rFonts w:ascii="Arial" w:eastAsia="Times New Roman" w:hAnsi="Arial" w:cs="Arial"/>
          <w:color w:val="333333"/>
          <w:sz w:val="15"/>
          <w:szCs w:val="15"/>
          <w:lang w:eastAsia="bg-BG"/>
        </w:rPr>
        <w:br/>
        <w:t>Чл. 29. Контролът по спазването на наредбата се осъществява от:</w:t>
      </w:r>
      <w:r w:rsidRPr="008B676B">
        <w:rPr>
          <w:rFonts w:ascii="Arial" w:eastAsia="Times New Roman" w:hAnsi="Arial" w:cs="Arial"/>
          <w:color w:val="333333"/>
          <w:sz w:val="15"/>
          <w:szCs w:val="15"/>
          <w:lang w:eastAsia="bg-BG"/>
        </w:rPr>
        <w:br/>
        <w:t>1. длъжностни лица, определени от министъра на вътрешните работи;</w:t>
      </w:r>
      <w:r w:rsidRPr="008B676B">
        <w:rPr>
          <w:rFonts w:ascii="Arial" w:eastAsia="Times New Roman" w:hAnsi="Arial" w:cs="Arial"/>
          <w:color w:val="333333"/>
          <w:sz w:val="15"/>
          <w:szCs w:val="15"/>
          <w:lang w:eastAsia="bg-BG"/>
        </w:rPr>
        <w:br/>
        <w:t>2. длъжностни лица, определени от председателя на Комисията за защита на потребителите.</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30. Контролните органи по чл. 29 имат право:</w:t>
      </w:r>
      <w:r w:rsidRPr="008B676B">
        <w:rPr>
          <w:rFonts w:ascii="Arial" w:eastAsia="Times New Roman" w:hAnsi="Arial" w:cs="Arial"/>
          <w:color w:val="333333"/>
          <w:sz w:val="15"/>
          <w:szCs w:val="15"/>
          <w:lang w:eastAsia="bg-BG"/>
        </w:rPr>
        <w:br/>
        <w:t>1. на свободен достъп в търговските помещения на заложната къща;</w:t>
      </w:r>
      <w:r w:rsidRPr="008B676B">
        <w:rPr>
          <w:rFonts w:ascii="Arial" w:eastAsia="Times New Roman" w:hAnsi="Arial" w:cs="Arial"/>
          <w:color w:val="333333"/>
          <w:sz w:val="15"/>
          <w:szCs w:val="15"/>
          <w:lang w:eastAsia="bg-BG"/>
        </w:rPr>
        <w:br/>
        <w:t>2. да изискват необходимите документи във връзка с осъществявания от тях контрол;</w:t>
      </w:r>
      <w:r w:rsidRPr="008B676B">
        <w:rPr>
          <w:rFonts w:ascii="Arial" w:eastAsia="Times New Roman" w:hAnsi="Arial" w:cs="Arial"/>
          <w:color w:val="333333"/>
          <w:sz w:val="15"/>
          <w:szCs w:val="15"/>
          <w:lang w:eastAsia="bg-BG"/>
        </w:rPr>
        <w:br/>
        <w:t>3. да изискват информация за дейността на заложната къща;</w:t>
      </w:r>
      <w:r w:rsidRPr="008B676B">
        <w:rPr>
          <w:rFonts w:ascii="Arial" w:eastAsia="Times New Roman" w:hAnsi="Arial" w:cs="Arial"/>
          <w:color w:val="333333"/>
          <w:sz w:val="15"/>
          <w:szCs w:val="15"/>
          <w:lang w:eastAsia="bg-BG"/>
        </w:rPr>
        <w:br/>
        <w:t>4. да привличат експерти в съответната област, когато проверката е особено сложна и изисква специални знания;</w:t>
      </w:r>
      <w:r w:rsidRPr="008B676B">
        <w:rPr>
          <w:rFonts w:ascii="Arial" w:eastAsia="Times New Roman" w:hAnsi="Arial" w:cs="Arial"/>
          <w:color w:val="333333"/>
          <w:sz w:val="15"/>
          <w:szCs w:val="15"/>
          <w:lang w:eastAsia="bg-BG"/>
        </w:rPr>
        <w:br/>
        <w:t>5. да съставят актове за установяване на нарушения.</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31. Контролните органи по чл. 29 са длъжни:</w:t>
      </w:r>
      <w:r w:rsidRPr="008B676B">
        <w:rPr>
          <w:rFonts w:ascii="Arial" w:eastAsia="Times New Roman" w:hAnsi="Arial" w:cs="Arial"/>
          <w:color w:val="333333"/>
          <w:sz w:val="15"/>
          <w:szCs w:val="15"/>
          <w:lang w:eastAsia="bg-BG"/>
        </w:rPr>
        <w:br/>
        <w:t>1. да установят точно фактите при извършвания от тях контрол;</w:t>
      </w:r>
      <w:r w:rsidRPr="008B676B">
        <w:rPr>
          <w:rFonts w:ascii="Arial" w:eastAsia="Times New Roman" w:hAnsi="Arial" w:cs="Arial"/>
          <w:color w:val="333333"/>
          <w:sz w:val="15"/>
          <w:szCs w:val="15"/>
          <w:lang w:eastAsia="bg-BG"/>
        </w:rPr>
        <w:br/>
        <w:t>2. да дават задължителни предписания за отстраняване на установените несъответствия и нарушения;</w:t>
      </w:r>
      <w:r w:rsidRPr="008B676B">
        <w:rPr>
          <w:rFonts w:ascii="Arial" w:eastAsia="Times New Roman" w:hAnsi="Arial" w:cs="Arial"/>
          <w:color w:val="333333"/>
          <w:sz w:val="15"/>
          <w:szCs w:val="15"/>
          <w:lang w:eastAsia="bg-BG"/>
        </w:rPr>
        <w:br/>
        <w:t>3. да дават заключения по възраженията във връзка с установените нарушения;</w:t>
      </w:r>
      <w:r w:rsidRPr="008B676B">
        <w:rPr>
          <w:rFonts w:ascii="Arial" w:eastAsia="Times New Roman" w:hAnsi="Arial" w:cs="Arial"/>
          <w:color w:val="333333"/>
          <w:sz w:val="15"/>
          <w:szCs w:val="15"/>
          <w:lang w:eastAsia="bg-BG"/>
        </w:rPr>
        <w:br/>
        <w:t>4. да уведомяват съответния специализиран орган за контрол в случаите, когато считат, че е налице нарушение на друг нормативен акт;</w:t>
      </w:r>
      <w:r w:rsidRPr="008B676B">
        <w:rPr>
          <w:rFonts w:ascii="Arial" w:eastAsia="Times New Roman" w:hAnsi="Arial" w:cs="Arial"/>
          <w:color w:val="333333"/>
          <w:sz w:val="15"/>
          <w:szCs w:val="15"/>
          <w:lang w:eastAsia="bg-BG"/>
        </w:rPr>
        <w:br/>
        <w:t>5. да представят своевременно фактите от извършения от тях контрол на органите на Министерството на вътрешните работи при съмнение за извършено престъпление.</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32. Когато установят, че заложната къща или нейни служители са нарушили разпоредбите на наредбата или други нормативни актове, контролните органи по чл. 29 могат да разпоредят писмено да се преустановят и отстранят допуснатите нарушения и да се предприемат определени мерки.</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33. Контролните органи по чл. 29 не могат да разгласяват информацията, която представлява търговска тайна на проверяваните от тях лица, освен в предвидените от закона случаи.</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34. Проверяваните лица са длъжни да предоставят при поискване от контролните органи по чл. 29 необходимата информация и документи. За целта оправомощените лица могат да извършват проверки на място.</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35. Държавните органи и длъжностните лица са длъжни да оказват в рамките на своите правомощия съдействие на контролните органи по чл. 29 при осъществяване на техните функции.</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Глава шеста</w:t>
      </w:r>
      <w:r w:rsidRPr="008B676B">
        <w:rPr>
          <w:rFonts w:ascii="Arial" w:eastAsia="Times New Roman" w:hAnsi="Arial" w:cs="Arial"/>
          <w:color w:val="333333"/>
          <w:sz w:val="15"/>
          <w:szCs w:val="15"/>
          <w:lang w:eastAsia="bg-BG"/>
        </w:rPr>
        <w:br/>
      </w:r>
      <w:r w:rsidRPr="008B676B">
        <w:rPr>
          <w:rFonts w:ascii="Arial" w:eastAsia="Times New Roman" w:hAnsi="Arial" w:cs="Arial"/>
          <w:b/>
          <w:bCs/>
          <w:color w:val="333333"/>
          <w:sz w:val="15"/>
          <w:lang w:eastAsia="bg-BG"/>
        </w:rPr>
        <w:t>АДМИНИСТРАТИВНОНАКАЗАТЕЛНИ РАЗПОРЕДБИ</w:t>
      </w:r>
    </w:p>
    <w:p w:rsidR="008B676B" w:rsidRPr="008B676B" w:rsidRDefault="008B676B" w:rsidP="008B676B">
      <w:pPr>
        <w:spacing w:after="24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br/>
        <w:t>Чл. 36.</w:t>
      </w:r>
      <w:r w:rsidRPr="008B676B">
        <w:rPr>
          <w:rFonts w:ascii="Arial" w:eastAsia="Times New Roman" w:hAnsi="Arial" w:cs="Arial"/>
          <w:color w:val="333333"/>
          <w:sz w:val="15"/>
          <w:szCs w:val="15"/>
          <w:lang w:eastAsia="bg-BG"/>
        </w:rPr>
        <w:br/>
        <w:t>(1) Който не изпълни или наруши разпоредбите на наредбата, ако деянието не съставлява престъпление, се наказва съгласно чл. 32 от Закона за административните нарушения и наказания.</w:t>
      </w:r>
      <w:r w:rsidRPr="008B676B">
        <w:rPr>
          <w:rFonts w:ascii="Arial" w:eastAsia="Times New Roman" w:hAnsi="Arial" w:cs="Arial"/>
          <w:color w:val="333333"/>
          <w:sz w:val="15"/>
          <w:szCs w:val="15"/>
          <w:lang w:eastAsia="bg-BG"/>
        </w:rPr>
        <w:br/>
        <w:t>(2) Когато нарушението по ал. 1 е извършено от юридическо лице, на нарушителя се налага имуществена санкция съгласно чл. 83 от Закона за административните нарушения и наказания в размер от 500 до 8000 лв.</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Чл. 37.</w:t>
      </w:r>
      <w:r w:rsidRPr="008B676B">
        <w:rPr>
          <w:rFonts w:ascii="Arial" w:eastAsia="Times New Roman" w:hAnsi="Arial" w:cs="Arial"/>
          <w:color w:val="333333"/>
          <w:sz w:val="15"/>
          <w:szCs w:val="15"/>
          <w:lang w:eastAsia="bg-BG"/>
        </w:rPr>
        <w:br/>
        <w:t> (1) Актовете за установяване на нарушенията се съставят от длъжностни лица, определени от министъра на вътрешните работи, съответно от председателя на Комисията за защита на потребителите.</w:t>
      </w:r>
      <w:r w:rsidRPr="008B676B">
        <w:rPr>
          <w:rFonts w:ascii="Arial" w:eastAsia="Times New Roman" w:hAnsi="Arial" w:cs="Arial"/>
          <w:color w:val="333333"/>
          <w:sz w:val="15"/>
          <w:szCs w:val="15"/>
          <w:lang w:eastAsia="bg-BG"/>
        </w:rPr>
        <w:br/>
        <w:t>(2) Наказателните постановления се издават от министъра на вътрешните работи, съответно от председателя на Комисията за защита на потребителите, или от упълномощени от тях длъжностни лица.</w:t>
      </w:r>
      <w:r w:rsidRPr="008B676B">
        <w:rPr>
          <w:rFonts w:ascii="Arial" w:eastAsia="Times New Roman" w:hAnsi="Arial" w:cs="Arial"/>
          <w:color w:val="333333"/>
          <w:sz w:val="15"/>
          <w:szCs w:val="15"/>
          <w:lang w:eastAsia="bg-BG"/>
        </w:rPr>
        <w:br/>
        <w:t>(3) Установяването на нарушенията, издаването, обжалването и изпълнението на наказателните постановления се извършват по реда на Закона за административните нарушения и наказания.</w:t>
      </w:r>
    </w:p>
    <w:p w:rsidR="008B676B" w:rsidRPr="008B676B" w:rsidRDefault="008B676B" w:rsidP="008B676B">
      <w:pPr>
        <w:spacing w:after="0" w:line="240" w:lineRule="auto"/>
        <w:jc w:val="center"/>
        <w:rPr>
          <w:rFonts w:ascii="Arial" w:eastAsia="Times New Roman" w:hAnsi="Arial" w:cs="Arial"/>
          <w:color w:val="333333"/>
          <w:sz w:val="15"/>
          <w:szCs w:val="15"/>
          <w:lang w:eastAsia="bg-BG"/>
        </w:rPr>
      </w:pPr>
      <w:r w:rsidRPr="008B676B">
        <w:rPr>
          <w:rFonts w:ascii="Arial" w:eastAsia="Times New Roman" w:hAnsi="Arial" w:cs="Arial"/>
          <w:b/>
          <w:bCs/>
          <w:color w:val="333333"/>
          <w:sz w:val="15"/>
          <w:lang w:eastAsia="bg-BG"/>
        </w:rPr>
        <w:t>Преходни и Заключителни разпоредби</w:t>
      </w:r>
    </w:p>
    <w:p w:rsidR="008B676B" w:rsidRPr="008B676B" w:rsidRDefault="008B676B" w:rsidP="008B676B">
      <w:pPr>
        <w:spacing w:after="0" w:line="240" w:lineRule="auto"/>
        <w:rPr>
          <w:rFonts w:ascii="Arial" w:eastAsia="Times New Roman" w:hAnsi="Arial" w:cs="Arial"/>
          <w:color w:val="333333"/>
          <w:sz w:val="15"/>
          <w:szCs w:val="15"/>
          <w:lang w:eastAsia="bg-BG"/>
        </w:rPr>
      </w:pPr>
      <w:r w:rsidRPr="008B676B">
        <w:rPr>
          <w:rFonts w:ascii="Arial" w:eastAsia="Times New Roman" w:hAnsi="Arial" w:cs="Arial"/>
          <w:color w:val="333333"/>
          <w:sz w:val="15"/>
          <w:szCs w:val="15"/>
          <w:lang w:eastAsia="bg-BG"/>
        </w:rPr>
        <w:br/>
        <w:t>§ 1. Всички лица, които предоставят по занятие парични заеми, обезпечени със залог върху движими вещи, или имат в предмета си на дейност извършването на такава дейност, са длъжни в срок 6 месеца от влизането в сила на наредбата да приведат дейността си в съответствие с нея или да я преустановят.</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 2. Наредбата се приема на основание § 23, ал. 2 от преходните и заключителните разпоредби на Закона за изменение и допълнение на Валутния закон (ДВ, бр. 60 от 2003 г.).</w:t>
      </w:r>
      <w:r w:rsidRPr="008B676B">
        <w:rPr>
          <w:rFonts w:ascii="Arial" w:eastAsia="Times New Roman" w:hAnsi="Arial" w:cs="Arial"/>
          <w:color w:val="333333"/>
          <w:sz w:val="15"/>
          <w:szCs w:val="15"/>
          <w:lang w:eastAsia="bg-BG"/>
        </w:rPr>
        <w:br/>
      </w:r>
      <w:r w:rsidRPr="008B676B">
        <w:rPr>
          <w:rFonts w:ascii="Arial" w:eastAsia="Times New Roman" w:hAnsi="Arial" w:cs="Arial"/>
          <w:color w:val="333333"/>
          <w:sz w:val="15"/>
          <w:szCs w:val="15"/>
          <w:lang w:eastAsia="bg-BG"/>
        </w:rPr>
        <w:br/>
        <w:t>§ 3. Наредбата влиза в сила от деня на обнародването й в "Държавен вестник".</w:t>
      </w:r>
      <w:bookmarkStart w:id="0" w:name="_GoBack"/>
      <w:bookmarkEnd w:id="0"/>
    </w:p>
    <w:sectPr w:rsidR="008B676B" w:rsidRPr="008B676B" w:rsidSect="00A07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8B676B"/>
    <w:rsid w:val="008801E3"/>
    <w:rsid w:val="008B676B"/>
    <w:rsid w:val="00A079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6538"/>
  <w15:docId w15:val="{A512BA51-56E9-48FF-B6F9-82B49965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9FB"/>
  </w:style>
  <w:style w:type="paragraph" w:styleId="Heading1">
    <w:name w:val="heading 1"/>
    <w:basedOn w:val="Normal"/>
    <w:link w:val="Heading1Char"/>
    <w:uiPriority w:val="9"/>
    <w:qFormat/>
    <w:rsid w:val="008B6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6B"/>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semiHidden/>
    <w:unhideWhenUsed/>
    <w:rsid w:val="008B676B"/>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8B676B"/>
    <w:rPr>
      <w:b/>
      <w:bCs/>
    </w:rPr>
  </w:style>
  <w:style w:type="paragraph" w:styleId="BalloonText">
    <w:name w:val="Balloon Text"/>
    <w:basedOn w:val="Normal"/>
    <w:link w:val="BalloonTextChar"/>
    <w:uiPriority w:val="99"/>
    <w:semiHidden/>
    <w:unhideWhenUsed/>
    <w:rsid w:val="008B6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7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806135">
      <w:bodyDiv w:val="1"/>
      <w:marLeft w:val="0"/>
      <w:marRight w:val="0"/>
      <w:marTop w:val="0"/>
      <w:marBottom w:val="0"/>
      <w:divBdr>
        <w:top w:val="none" w:sz="0" w:space="0" w:color="auto"/>
        <w:left w:val="none" w:sz="0" w:space="0" w:color="auto"/>
        <w:bottom w:val="none" w:sz="0" w:space="0" w:color="auto"/>
        <w:right w:val="none" w:sz="0" w:space="0" w:color="auto"/>
      </w:divBdr>
      <w:divsChild>
        <w:div w:id="1903128218">
          <w:marLeft w:val="0"/>
          <w:marRight w:val="0"/>
          <w:marTop w:val="0"/>
          <w:marBottom w:val="183"/>
          <w:divBdr>
            <w:top w:val="none" w:sz="0" w:space="0" w:color="auto"/>
            <w:left w:val="none" w:sz="0" w:space="0" w:color="auto"/>
            <w:bottom w:val="none" w:sz="0" w:space="0" w:color="auto"/>
            <w:right w:val="none" w:sz="0" w:space="0" w:color="auto"/>
          </w:divBdr>
        </w:div>
        <w:div w:id="954991625">
          <w:marLeft w:val="0"/>
          <w:marRight w:val="0"/>
          <w:marTop w:val="0"/>
          <w:marBottom w:val="0"/>
          <w:divBdr>
            <w:top w:val="none" w:sz="0" w:space="0" w:color="auto"/>
            <w:left w:val="none" w:sz="0" w:space="0" w:color="auto"/>
            <w:bottom w:val="none" w:sz="0" w:space="0" w:color="auto"/>
            <w:right w:val="none" w:sz="0" w:space="0" w:color="auto"/>
          </w:divBdr>
        </w:div>
        <w:div w:id="1639996988">
          <w:marLeft w:val="0"/>
          <w:marRight w:val="0"/>
          <w:marTop w:val="0"/>
          <w:marBottom w:val="0"/>
          <w:divBdr>
            <w:top w:val="none" w:sz="0" w:space="0" w:color="auto"/>
            <w:left w:val="none" w:sz="0" w:space="0" w:color="auto"/>
            <w:bottom w:val="none" w:sz="0" w:space="0" w:color="auto"/>
            <w:right w:val="none" w:sz="0" w:space="0" w:color="auto"/>
          </w:divBdr>
          <w:divsChild>
            <w:div w:id="17535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3144</Words>
  <Characters>17923</Characters>
  <Application>Microsoft Office Word</Application>
  <DocSecurity>0</DocSecurity>
  <Lines>149</Lines>
  <Paragraphs>42</Paragraphs>
  <ScaleCrop>false</ScaleCrop>
  <Company>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I3eco</cp:lastModifiedBy>
  <cp:revision>3</cp:revision>
  <dcterms:created xsi:type="dcterms:W3CDTF">2014-09-12T07:33:00Z</dcterms:created>
  <dcterms:modified xsi:type="dcterms:W3CDTF">2016-05-03T10:17:00Z</dcterms:modified>
</cp:coreProperties>
</file>