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Pre-Analysis Plan</w:t>
      </w:r>
    </w:p>
    <w:p w:rsidR="00000000" w:rsidDel="00000000" w:rsidP="00000000" w:rsidRDefault="00000000" w:rsidRPr="00000000" w14:paraId="00000002">
      <w:pPr>
        <w:pStyle w:val="Heading1"/>
        <w:jc w:val="center"/>
        <w:rPr/>
      </w:pPr>
      <w:r w:rsidDel="00000000" w:rsidR="00000000" w:rsidRPr="00000000">
        <w:rPr>
          <w:rtl w:val="0"/>
        </w:rPr>
        <w:t xml:space="preserve">Reproducing with AI Across the Expertise Ladder</w:t>
      </w:r>
    </w:p>
    <w:p w:rsidR="00000000" w:rsidDel="00000000" w:rsidP="00000000" w:rsidRDefault="00000000" w:rsidRPr="00000000" w14:paraId="0000000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Version 0.3 – 12 Jun 2025</w:t>
      </w:r>
    </w:p>
    <w:p w:rsidR="00000000" w:rsidDel="00000000" w:rsidP="00000000" w:rsidRDefault="00000000" w:rsidRPr="00000000" w14:paraId="00000004">
      <w:pPr>
        <w:pStyle w:val="Heading2"/>
        <w:rPr/>
      </w:pPr>
      <w:r w:rsidDel="00000000" w:rsidR="00000000" w:rsidRPr="00000000">
        <w:rPr>
          <w:rtl w:val="0"/>
        </w:rPr>
        <w:t xml:space="preserve">Principal Investigators &amp; Co-authors</w:t>
      </w:r>
    </w:p>
    <w:p w:rsidR="00000000" w:rsidDel="00000000" w:rsidP="00000000" w:rsidRDefault="00000000" w:rsidRPr="00000000" w14:paraId="00000005">
      <w:pPr>
        <w:spacing w:after="0" w:line="240" w:lineRule="auto"/>
        <w:rPr/>
      </w:pPr>
      <w:r w:rsidDel="00000000" w:rsidR="00000000" w:rsidRPr="00000000">
        <w:rPr>
          <w:rtl w:val="0"/>
        </w:rPr>
        <w:t xml:space="preserve">Ghina Abdul Baki (University of Ottawa)</w:t>
      </w:r>
      <w:r w:rsidDel="00000000" w:rsidR="00000000" w:rsidRPr="00000000">
        <w:rPr>
          <w:rtl w:val="0"/>
        </w:rPr>
      </w:r>
    </w:p>
    <w:p w:rsidR="00000000" w:rsidDel="00000000" w:rsidP="00000000" w:rsidRDefault="00000000" w:rsidRPr="00000000" w14:paraId="00000006">
      <w:pPr>
        <w:spacing w:after="0" w:line="240" w:lineRule="auto"/>
        <w:rPr/>
      </w:pPr>
      <w:commentRangeStart w:id="0"/>
      <w:r w:rsidDel="00000000" w:rsidR="00000000" w:rsidRPr="00000000">
        <w:rPr>
          <w:rtl w:val="0"/>
        </w:rPr>
        <w:t xml:space="preserve">Juan P. Aparicio (University of Ottawa)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Bruno Barbarioli (University of Ottawa)</w:t>
        <w:br w:type="textWrapping"/>
        <w:t xml:space="preserve">Abel Brodeur (University of Ottawa)</w:t>
      </w:r>
    </w:p>
    <w:p w:rsidR="00000000" w:rsidDel="00000000" w:rsidP="00000000" w:rsidRDefault="00000000" w:rsidRPr="00000000" w14:paraId="00000008">
      <w:pPr>
        <w:spacing w:after="0" w:line="240" w:lineRule="auto"/>
        <w:rPr/>
      </w:pPr>
      <w:r w:rsidDel="00000000" w:rsidR="00000000" w:rsidRPr="00000000">
        <w:rPr>
          <w:rtl w:val="0"/>
        </w:rPr>
        <w:t xml:space="preserve">Lenka Fiala (University of Ottawa)</w:t>
        <w:br w:type="textWrapping"/>
        <w:t xml:space="preserve">Derek Mikola (University of Ottawa)</w:t>
      </w:r>
    </w:p>
    <w:p w:rsidR="00000000" w:rsidDel="00000000" w:rsidP="00000000" w:rsidRDefault="00000000" w:rsidRPr="00000000" w14:paraId="00000009">
      <w:pPr>
        <w:spacing w:after="0" w:line="240" w:lineRule="auto"/>
        <w:rPr/>
      </w:pPr>
      <w:r w:rsidDel="00000000" w:rsidR="00000000" w:rsidRPr="00000000">
        <w:rPr>
          <w:rtl w:val="0"/>
        </w:rPr>
        <w:t xml:space="preserve">David Valenta (University of Ottawa)</w:t>
        <w:br w:type="textWrapping"/>
        <w:t xml:space="preserve">et al. (All participants who comply with protocol will be listed after the PIs).</w:t>
      </w:r>
    </w:p>
    <w:p w:rsidR="00000000" w:rsidDel="00000000" w:rsidP="00000000" w:rsidRDefault="00000000" w:rsidRPr="00000000" w14:paraId="0000000A">
      <w:pPr>
        <w:pStyle w:val="Heading2"/>
        <w:rPr/>
      </w:pPr>
      <w:r w:rsidDel="00000000" w:rsidR="00000000" w:rsidRPr="00000000">
        <w:rPr>
          <w:rtl w:val="0"/>
        </w:rPr>
        <w:t xml:space="preserve">Funding &amp; Registration</w:t>
      </w:r>
    </w:p>
    <w:p w:rsidR="00000000" w:rsidDel="00000000" w:rsidP="00000000" w:rsidRDefault="00000000" w:rsidRPr="00000000" w14:paraId="0000000B">
      <w:pPr>
        <w:rPr/>
      </w:pPr>
      <w:r w:rsidDel="00000000" w:rsidR="00000000" w:rsidRPr="00000000">
        <w:rPr>
          <w:rtl w:val="0"/>
        </w:rPr>
        <w:t xml:space="preserve">Funded by Open Philanthropy and the Institute for Replication (I4R).</w:t>
      </w:r>
    </w:p>
    <w:p w:rsidR="00000000" w:rsidDel="00000000" w:rsidP="00000000" w:rsidRDefault="00000000" w:rsidRPr="00000000" w14:paraId="0000000C">
      <w:pPr>
        <w:rPr/>
      </w:pPr>
      <w:r w:rsidDel="00000000" w:rsidR="00000000" w:rsidRPr="00000000">
        <w:rPr>
          <w:rtl w:val="0"/>
        </w:rPr>
        <w:t xml:space="preserve">This PAP will be preregistered on OSF and GitHub immediately after pilot power simulations (target September 2025).</w:t>
      </w:r>
    </w:p>
    <w:p w:rsidR="00000000" w:rsidDel="00000000" w:rsidP="00000000" w:rsidRDefault="00000000" w:rsidRPr="00000000" w14:paraId="0000000D">
      <w:pPr>
        <w:pStyle w:val="Heading2"/>
        <w:rPr/>
      </w:pPr>
      <w:r w:rsidDel="00000000" w:rsidR="00000000" w:rsidRPr="00000000">
        <w:rPr>
          <w:rtl w:val="0"/>
        </w:rPr>
        <w:t xml:space="preserve">1. Background &amp; Rationale</w:t>
      </w:r>
    </w:p>
    <w:p w:rsidR="00000000" w:rsidDel="00000000" w:rsidP="00000000" w:rsidRDefault="00000000" w:rsidRPr="00000000" w14:paraId="0000000E">
      <w:pPr>
        <w:rPr/>
      </w:pPr>
      <w:r w:rsidDel="00000000" w:rsidR="00000000" w:rsidRPr="00000000">
        <w:rPr>
          <w:rtl w:val="0"/>
        </w:rPr>
        <w:t xml:space="preserve">Our 2024–25 AI‑Replication Games (Brodeur et al. </w:t>
      </w:r>
      <w:hyperlink r:id="rId7">
        <w:r w:rsidDel="00000000" w:rsidR="00000000" w:rsidRPr="00000000">
          <w:rPr>
            <w:color w:val="1155cc"/>
            <w:u w:val="single"/>
            <w:rtl w:val="0"/>
          </w:rPr>
          <w:t xml:space="preserve">econstor.eu/bitstream/10419/308508/1/I4R-DP195.pdf</w:t>
        </w:r>
      </w:hyperlink>
      <w:r w:rsidDel="00000000" w:rsidR="00000000" w:rsidRPr="00000000">
        <w:rPr>
          <w:rtl w:val="0"/>
        </w:rPr>
        <w:t xml:space="preserve">) showed that AI assistance changes between‑team performance in reproduction tasks. This study examines the vertical dimension of expertise—professors,</w:t>
      </w:r>
      <w:commentRangeStart w:id="1"/>
      <w:r w:rsidDel="00000000" w:rsidR="00000000" w:rsidRPr="00000000">
        <w:rPr>
          <w:rtl w:val="0"/>
        </w:rPr>
        <w:t xml:space="preserve"> post‑docs</w:t>
      </w:r>
      <w:commentRangeEnd w:id="1"/>
      <w:r w:rsidDel="00000000" w:rsidR="00000000" w:rsidRPr="00000000">
        <w:commentReference w:id="1"/>
      </w:r>
      <w:r w:rsidDel="00000000" w:rsidR="00000000" w:rsidRPr="00000000">
        <w:rPr>
          <w:rtl w:val="0"/>
        </w:rPr>
        <w:t xml:space="preserve">, PhD students, master’s students, undergraduates—on </w:t>
      </w:r>
      <w:commentRangeStart w:id="2"/>
      <w:r w:rsidDel="00000000" w:rsidR="00000000" w:rsidRPr="00000000">
        <w:rPr>
          <w:rtl w:val="0"/>
        </w:rPr>
        <w:t xml:space="preserve">some of the same tasks</w:t>
      </w:r>
      <w:commentRangeEnd w:id="2"/>
      <w:r w:rsidDel="00000000" w:rsidR="00000000" w:rsidRPr="00000000">
        <w:commentReference w:id="2"/>
      </w:r>
      <w:r w:rsidDel="00000000" w:rsidR="00000000" w:rsidRPr="00000000">
        <w:rPr>
          <w:rtl w:val="0"/>
        </w:rPr>
        <w:t xml:space="preserve">. Large‑language models (LLMs) may be a “great equalizer”, narrowing productivity gaps, or could amplify expert advantages through better prompting. Randomizing individuals to AI versus control (human-only) within expertise strata lets us test the following hypotheses.</w:t>
      </w:r>
    </w:p>
    <w:p w:rsidR="00000000" w:rsidDel="00000000" w:rsidP="00000000" w:rsidRDefault="00000000" w:rsidRPr="00000000" w14:paraId="0000000F">
      <w:pPr>
        <w:pStyle w:val="Heading2"/>
        <w:rPr/>
      </w:pPr>
      <w:r w:rsidDel="00000000" w:rsidR="00000000" w:rsidRPr="00000000">
        <w:rPr>
          <w:rtl w:val="0"/>
        </w:rPr>
        <w:t xml:space="preserve">2. Research Questions and Hypotheses</w:t>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ID</w:t>
            </w:r>
          </w:p>
        </w:tc>
        <w:tc>
          <w:tcPr/>
          <w:p w:rsidR="00000000" w:rsidDel="00000000" w:rsidP="00000000" w:rsidRDefault="00000000" w:rsidRPr="00000000" w14:paraId="00000011">
            <w:pPr>
              <w:rPr>
                <w:b w:val="1"/>
              </w:rPr>
            </w:pPr>
            <w:r w:rsidDel="00000000" w:rsidR="00000000" w:rsidRPr="00000000">
              <w:rPr>
                <w:b w:val="1"/>
                <w:rtl w:val="0"/>
              </w:rPr>
              <w:t xml:space="preserve">Research Question</w:t>
            </w:r>
          </w:p>
        </w:tc>
        <w:tc>
          <w:tcPr/>
          <w:p w:rsidR="00000000" w:rsidDel="00000000" w:rsidP="00000000" w:rsidRDefault="00000000" w:rsidRPr="00000000" w14:paraId="00000012">
            <w:pPr>
              <w:rPr>
                <w:b w:val="1"/>
              </w:rPr>
            </w:pPr>
            <w:r w:rsidDel="00000000" w:rsidR="00000000" w:rsidRPr="00000000">
              <w:rPr>
                <w:b w:val="1"/>
                <w:rtl w:val="0"/>
              </w:rPr>
              <w:t xml:space="preserve">Directional Hypothesis</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H1</w:t>
            </w:r>
          </w:p>
        </w:tc>
        <w:tc>
          <w:tcPr/>
          <w:p w:rsidR="00000000" w:rsidDel="00000000" w:rsidP="00000000" w:rsidRDefault="00000000" w:rsidRPr="00000000" w14:paraId="00000014">
            <w:pPr>
              <w:rPr/>
            </w:pPr>
            <w:r w:rsidDel="00000000" w:rsidR="00000000" w:rsidRPr="00000000">
              <w:rPr>
                <w:rtl w:val="0"/>
              </w:rPr>
              <w:t xml:space="preserve">Does</w:t>
            </w:r>
            <w:commentRangeStart w:id="3"/>
            <w:r w:rsidDel="00000000" w:rsidR="00000000" w:rsidRPr="00000000">
              <w:rPr>
                <w:rtl w:val="0"/>
              </w:rPr>
              <w:t xml:space="preserve"> ChatGPT Plus</w:t>
            </w:r>
            <w:commentRangeEnd w:id="3"/>
            <w:r w:rsidDel="00000000" w:rsidR="00000000" w:rsidRPr="00000000">
              <w:commentReference w:id="3"/>
            </w:r>
            <w:r w:rsidDel="00000000" w:rsidR="00000000" w:rsidRPr="00000000">
              <w:rPr>
                <w:rtl w:val="0"/>
              </w:rPr>
              <w:t xml:space="preserve"> raise average performance in reproduction tasks?</w:t>
            </w:r>
          </w:p>
        </w:tc>
        <w:tc>
          <w:tcPr/>
          <w:p w:rsidR="00000000" w:rsidDel="00000000" w:rsidP="00000000" w:rsidRDefault="00000000" w:rsidRPr="00000000" w14:paraId="00000015">
            <w:pPr>
              <w:rPr/>
            </w:pPr>
            <w:r w:rsidDel="00000000" w:rsidR="00000000" w:rsidRPr="00000000">
              <w:rPr>
                <w:rtl w:val="0"/>
              </w:rPr>
              <w:t xml:space="preserve">Yes: β1 &gt; 0</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H2</w:t>
            </w:r>
          </w:p>
        </w:tc>
        <w:tc>
          <w:tcPr/>
          <w:p w:rsidR="00000000" w:rsidDel="00000000" w:rsidP="00000000" w:rsidRDefault="00000000" w:rsidRPr="00000000" w14:paraId="00000017">
            <w:pPr>
              <w:rPr/>
            </w:pPr>
            <w:r w:rsidDel="00000000" w:rsidR="00000000" w:rsidRPr="00000000">
              <w:rPr>
                <w:rtl w:val="0"/>
              </w:rPr>
              <w:t xml:space="preserve">Does AI compress performance gaps between expertise tiers?</w:t>
            </w:r>
          </w:p>
        </w:tc>
        <w:tc>
          <w:tcPr/>
          <w:p w:rsidR="00000000" w:rsidDel="00000000" w:rsidP="00000000" w:rsidRDefault="00000000" w:rsidRPr="00000000" w14:paraId="00000018">
            <w:pPr>
              <w:rPr/>
            </w:pPr>
            <w:r w:rsidDel="00000000" w:rsidR="00000000" w:rsidRPr="00000000">
              <w:rPr>
                <w:rtl w:val="0"/>
              </w:rPr>
              <w:t xml:space="preserve">Yes: δk &lt; 0 for lower tiers</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H3</w:t>
            </w:r>
          </w:p>
        </w:tc>
        <w:tc>
          <w:tcPr/>
          <w:p w:rsidR="00000000" w:rsidDel="00000000" w:rsidP="00000000" w:rsidRDefault="00000000" w:rsidRPr="00000000" w14:paraId="0000001A">
            <w:pPr>
              <w:rPr/>
            </w:pPr>
            <w:r w:rsidDel="00000000" w:rsidR="00000000" w:rsidRPr="00000000">
              <w:rPr>
                <w:rtl w:val="0"/>
              </w:rPr>
              <w:t xml:space="preserve">Where is compression largest?</w:t>
            </w:r>
          </w:p>
        </w:tc>
        <w:tc>
          <w:tcPr/>
          <w:p w:rsidR="00000000" w:rsidDel="00000000" w:rsidP="00000000" w:rsidRDefault="00000000" w:rsidRPr="00000000" w14:paraId="0000001B">
            <w:pPr>
              <w:rPr/>
            </w:pPr>
            <w:r w:rsidDel="00000000" w:rsidR="00000000" w:rsidRPr="00000000">
              <w:rPr>
                <w:rtl w:val="0"/>
              </w:rPr>
              <w:t xml:space="preserve">Greatest for MA/UG tiers</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H4</w:t>
            </w:r>
          </w:p>
        </w:tc>
        <w:tc>
          <w:tcPr/>
          <w:p w:rsidR="00000000" w:rsidDel="00000000" w:rsidP="00000000" w:rsidRDefault="00000000" w:rsidRPr="00000000" w14:paraId="0000001D">
            <w:pPr>
              <w:rPr/>
            </w:pPr>
            <w:r w:rsidDel="00000000" w:rsidR="00000000" w:rsidRPr="00000000">
              <w:rPr>
                <w:rtl w:val="0"/>
              </w:rPr>
              <w:t xml:space="preserve">Does AI accelerate task completion?</w:t>
            </w:r>
          </w:p>
        </w:tc>
        <w:tc>
          <w:tcPr/>
          <w:p w:rsidR="00000000" w:rsidDel="00000000" w:rsidP="00000000" w:rsidRDefault="00000000" w:rsidRPr="00000000" w14:paraId="0000001E">
            <w:pPr>
              <w:rPr/>
            </w:pPr>
            <w:r w:rsidDel="00000000" w:rsidR="00000000" w:rsidRPr="00000000">
              <w:rPr>
                <w:rtl w:val="0"/>
              </w:rPr>
              <w:t xml:space="preserve">Yes: β_time &lt; 0</w:t>
            </w:r>
          </w:p>
        </w:tc>
      </w:tr>
    </w:tbl>
    <w:p w:rsidR="00000000" w:rsidDel="00000000" w:rsidP="00000000" w:rsidRDefault="00000000" w:rsidRPr="00000000" w14:paraId="0000001F">
      <w:pPr>
        <w:rPr/>
      </w:pPr>
      <w:commentRangeStart w:id="4"/>
      <w:commentRangeStart w:id="5"/>
      <w:r w:rsidDel="00000000" w:rsidR="00000000" w:rsidRPr="00000000">
        <w:rPr>
          <w:rtl w:val="0"/>
        </w:rPr>
        <w:t xml:space="preserve">Exploratory: (i) dose–response by years of coding; (ii) AI </w:t>
      </w:r>
      <w:commentRangeStart w:id="6"/>
      <w:r w:rsidDel="00000000" w:rsidR="00000000" w:rsidRPr="00000000">
        <w:rPr>
          <w:rtl w:val="0"/>
        </w:rPr>
        <w:t xml:space="preserve">prompt </w:t>
      </w:r>
      <w:commentRangeEnd w:id="6"/>
      <w:r w:rsidDel="00000000" w:rsidR="00000000" w:rsidRPr="00000000">
        <w:commentReference w:id="6"/>
      </w:r>
      <w:r w:rsidDel="00000000" w:rsidR="00000000" w:rsidRPr="00000000">
        <w:rPr>
          <w:rtl w:val="0"/>
        </w:rPr>
        <w:t xml:space="preserve">counts; (iii) learning across events.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main outcome variables will be achieving computational reproducibility, detecting coding errors, </w:t>
      </w:r>
      <w:r w:rsidDel="00000000" w:rsidR="00000000" w:rsidRPr="00000000">
        <w:rPr>
          <w:b w:val="1"/>
          <w:i w:val="1"/>
          <w:u w:val="single"/>
          <w:rtl w:val="0"/>
        </w:rPr>
        <w:t xml:space="preserve">proposing</w:t>
      </w:r>
      <w:r w:rsidDel="00000000" w:rsidR="00000000" w:rsidRPr="00000000">
        <w:rPr>
          <w:b w:val="1"/>
          <w:i w:val="1"/>
          <w:rtl w:val="0"/>
        </w:rPr>
        <w:t xml:space="preserve"> </w:t>
      </w:r>
      <w:r w:rsidDel="00000000" w:rsidR="00000000" w:rsidRPr="00000000">
        <w:rPr>
          <w:rtl w:val="0"/>
        </w:rPr>
        <w:t xml:space="preserve">robustness checks and XXX.</w:t>
      </w:r>
    </w:p>
    <w:p w:rsidR="00000000" w:rsidDel="00000000" w:rsidP="00000000" w:rsidRDefault="00000000" w:rsidRPr="00000000" w14:paraId="00000021">
      <w:pPr>
        <w:pStyle w:val="Heading2"/>
        <w:rPr/>
      </w:pPr>
      <w:r w:rsidDel="00000000" w:rsidR="00000000" w:rsidRPr="00000000">
        <w:rPr>
          <w:rtl w:val="0"/>
        </w:rPr>
        <w:t xml:space="preserve">3. Experimental Design</w:t>
      </w:r>
    </w:p>
    <w:p w:rsidR="00000000" w:rsidDel="00000000" w:rsidP="00000000" w:rsidRDefault="00000000" w:rsidRPr="00000000" w14:paraId="00000022">
      <w:pPr>
        <w:pStyle w:val="Heading3"/>
        <w:rPr/>
      </w:pPr>
      <w:r w:rsidDel="00000000" w:rsidR="00000000" w:rsidRPr="00000000">
        <w:rPr>
          <w:rtl w:val="0"/>
        </w:rPr>
        <w:t xml:space="preserve">3.1 Treatments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Control — Human‑only: participants pledge not to use AI tools.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commentRangeStart w:id="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Treatment — Human + ChatGPT Plus: full subscription (GPT‑4o and successors, code interpreter, vision).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5">
      <w:pPr>
        <w:pStyle w:val="Heading3"/>
        <w:rPr/>
      </w:pPr>
      <w:commentRangeStart w:id="8"/>
      <w:r w:rsidDel="00000000" w:rsidR="00000000" w:rsidRPr="00000000">
        <w:rPr>
          <w:rtl w:val="0"/>
        </w:rPr>
        <w:t xml:space="preserve">3.2 Expertise Strata</w:t>
      </w:r>
      <w:commentRangeEnd w:id="8"/>
      <w:r w:rsidDel="00000000" w:rsidR="00000000" w:rsidRPr="00000000">
        <w:commentReference w:id="8"/>
      </w:r>
      <w:r w:rsidDel="00000000" w:rsidR="00000000" w:rsidRPr="00000000">
        <w:rPr>
          <w:rtl w:val="0"/>
        </w:rPr>
      </w:r>
    </w:p>
    <w:tbl>
      <w:tblPr>
        <w:tblStyle w:val="Table2"/>
        <w:tblW w:w="864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6">
            <w:pPr>
              <w:rPr/>
            </w:pPr>
            <w:r w:rsidDel="00000000" w:rsidR="00000000" w:rsidRPr="00000000">
              <w:rPr>
                <w:rtl w:val="0"/>
              </w:rPr>
              <w:t xml:space="preserve">Tier</w:t>
            </w:r>
          </w:p>
        </w:tc>
        <w:tc>
          <w:tcPr/>
          <w:p w:rsidR="00000000" w:rsidDel="00000000" w:rsidP="00000000" w:rsidRDefault="00000000" w:rsidRPr="00000000" w14:paraId="00000027">
            <w:pPr>
              <w:rPr/>
            </w:pPr>
            <w:r w:rsidDel="00000000" w:rsidR="00000000" w:rsidRPr="00000000">
              <w:rPr>
                <w:rtl w:val="0"/>
              </w:rPr>
              <w:t xml:space="preserve">Definition</w:t>
            </w:r>
          </w:p>
        </w:tc>
        <w:tc>
          <w:tcPr/>
          <w:p w:rsidR="00000000" w:rsidDel="00000000" w:rsidP="00000000" w:rsidRDefault="00000000" w:rsidRPr="00000000" w14:paraId="00000028">
            <w:pPr>
              <w:rPr/>
            </w:pPr>
            <w:commentRangeStart w:id="9"/>
            <w:r w:rsidDel="00000000" w:rsidR="00000000" w:rsidRPr="00000000">
              <w:rPr>
                <w:rtl w:val="0"/>
              </w:rPr>
              <w:t xml:space="preserve">Target N</w:t>
            </w:r>
            <w:commentRangeEnd w:id="9"/>
            <w:r w:rsidDel="00000000" w:rsidR="00000000" w:rsidRPr="00000000">
              <w:commentReference w:id="9"/>
            </w: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P</w:t>
            </w:r>
          </w:p>
        </w:tc>
        <w:tc>
          <w:tcPr/>
          <w:p w:rsidR="00000000" w:rsidDel="00000000" w:rsidP="00000000" w:rsidRDefault="00000000" w:rsidRPr="00000000" w14:paraId="0000002A">
            <w:pPr>
              <w:rPr/>
            </w:pPr>
            <w:r w:rsidDel="00000000" w:rsidR="00000000" w:rsidRPr="00000000">
              <w:rPr>
                <w:rtl w:val="0"/>
              </w:rPr>
              <w:t xml:space="preserve">Professor (tenure‑track/tenured)</w:t>
            </w:r>
          </w:p>
        </w:tc>
        <w:tc>
          <w:tcPr/>
          <w:p w:rsidR="00000000" w:rsidDel="00000000" w:rsidP="00000000" w:rsidRDefault="00000000" w:rsidRPr="00000000" w14:paraId="0000002B">
            <w:pPr>
              <w:rPr/>
            </w:pPr>
            <w:commentRangeStart w:id="10"/>
            <w:commentRangeStart w:id="11"/>
            <w:r w:rsidDel="00000000" w:rsidR="00000000" w:rsidRPr="00000000">
              <w:rPr>
                <w:rtl w:val="0"/>
              </w:rPr>
              <w:t xml:space="preserve">60</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PD</w:t>
            </w:r>
          </w:p>
        </w:tc>
        <w:tc>
          <w:tcPr/>
          <w:p w:rsidR="00000000" w:rsidDel="00000000" w:rsidP="00000000" w:rsidRDefault="00000000" w:rsidRPr="00000000" w14:paraId="0000002D">
            <w:pPr>
              <w:rPr/>
            </w:pPr>
            <w:r w:rsidDel="00000000" w:rsidR="00000000" w:rsidRPr="00000000">
              <w:rPr>
                <w:rtl w:val="0"/>
              </w:rPr>
              <w:t xml:space="preserve">Post‑doctoral researcher / non‑TT faculty</w:t>
            </w:r>
          </w:p>
        </w:tc>
        <w:tc>
          <w:tcPr/>
          <w:p w:rsidR="00000000" w:rsidDel="00000000" w:rsidP="00000000" w:rsidRDefault="00000000" w:rsidRPr="00000000" w14:paraId="0000002E">
            <w:pPr>
              <w:rPr/>
            </w:pPr>
            <w:commentRangeStart w:id="12"/>
            <w:commentRangeStart w:id="13"/>
            <w:commentRangeStart w:id="14"/>
            <w:r w:rsidDel="00000000" w:rsidR="00000000" w:rsidRPr="00000000">
              <w:rPr>
                <w:rtl w:val="0"/>
              </w:rPr>
              <w:t xml:space="preserve">60</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c>
      </w:tr>
      <w:tr>
        <w:trPr>
          <w:cantSplit w:val="0"/>
          <w:trHeight w:val="343.5546875" w:hRule="atLeast"/>
          <w:tblHeader w:val="0"/>
        </w:trPr>
        <w:tc>
          <w:tcPr/>
          <w:p w:rsidR="00000000" w:rsidDel="00000000" w:rsidP="00000000" w:rsidRDefault="00000000" w:rsidRPr="00000000" w14:paraId="0000002F">
            <w:pPr>
              <w:rPr/>
            </w:pPr>
            <w:r w:rsidDel="00000000" w:rsidR="00000000" w:rsidRPr="00000000">
              <w:rPr>
                <w:rtl w:val="0"/>
              </w:rPr>
              <w:t xml:space="preserve">PhD</w:t>
            </w:r>
          </w:p>
        </w:tc>
        <w:tc>
          <w:tcPr/>
          <w:p w:rsidR="00000000" w:rsidDel="00000000" w:rsidP="00000000" w:rsidRDefault="00000000" w:rsidRPr="00000000" w14:paraId="00000030">
            <w:pPr>
              <w:rPr/>
            </w:pPr>
            <w:r w:rsidDel="00000000" w:rsidR="00000000" w:rsidRPr="00000000">
              <w:rPr>
                <w:rtl w:val="0"/>
              </w:rPr>
              <w:t xml:space="preserve">Doctoral candidate</w:t>
            </w:r>
          </w:p>
        </w:tc>
        <w:tc>
          <w:tcPr/>
          <w:p w:rsidR="00000000" w:rsidDel="00000000" w:rsidP="00000000" w:rsidRDefault="00000000" w:rsidRPr="00000000" w14:paraId="00000031">
            <w:pPr>
              <w:rPr/>
            </w:pPr>
            <w:r w:rsidDel="00000000" w:rsidR="00000000" w:rsidRPr="00000000">
              <w:rPr>
                <w:rtl w:val="0"/>
              </w:rPr>
              <w:t xml:space="preserve">60</w:t>
            </w:r>
          </w:p>
        </w:tc>
      </w:tr>
      <w:tr>
        <w:trPr>
          <w:cantSplit w:val="0"/>
          <w:tblHeader w:val="0"/>
        </w:trPr>
        <w:tc>
          <w:tcPr/>
          <w:p w:rsidR="00000000" w:rsidDel="00000000" w:rsidP="00000000" w:rsidRDefault="00000000" w:rsidRPr="00000000" w14:paraId="00000032">
            <w:pPr>
              <w:rPr/>
            </w:pPr>
            <w:commentRangeStart w:id="15"/>
            <w:r w:rsidDel="00000000" w:rsidR="00000000" w:rsidRPr="00000000">
              <w:rPr>
                <w:rtl w:val="0"/>
              </w:rPr>
              <w:t xml:space="preserve">MA</w:t>
            </w:r>
          </w:p>
        </w:tc>
        <w:tc>
          <w:tcPr/>
          <w:p w:rsidR="00000000" w:rsidDel="00000000" w:rsidP="00000000" w:rsidRDefault="00000000" w:rsidRPr="00000000" w14:paraId="00000033">
            <w:pPr>
              <w:rPr/>
            </w:pPr>
            <w:r w:rsidDel="00000000" w:rsidR="00000000" w:rsidRPr="00000000">
              <w:rPr>
                <w:rtl w:val="0"/>
              </w:rPr>
              <w:t xml:space="preserve">Master’s student</w:t>
            </w:r>
          </w:p>
        </w:tc>
        <w:tc>
          <w:tcPr/>
          <w:p w:rsidR="00000000" w:rsidDel="00000000" w:rsidP="00000000" w:rsidRDefault="00000000" w:rsidRPr="00000000" w14:paraId="00000034">
            <w:pPr>
              <w:rPr/>
            </w:pPr>
            <w:r w:rsidDel="00000000" w:rsidR="00000000" w:rsidRPr="00000000">
              <w:rPr>
                <w:rtl w:val="0"/>
              </w:rPr>
              <w:t xml:space="preserve">60</w:t>
            </w:r>
          </w:p>
        </w:tc>
      </w:tr>
      <w:tr>
        <w:trPr>
          <w:cantSplit w:val="0"/>
          <w:tblHeader w:val="0"/>
        </w:trPr>
        <w:tc>
          <w:tcPr/>
          <w:p w:rsidR="00000000" w:rsidDel="00000000" w:rsidP="00000000" w:rsidRDefault="00000000" w:rsidRPr="00000000" w14:paraId="00000035">
            <w:pPr>
              <w:rPr/>
            </w:pPr>
            <w:commentRangeEnd w:id="15"/>
            <w:r w:rsidDel="00000000" w:rsidR="00000000" w:rsidRPr="00000000">
              <w:commentReference w:id="15"/>
            </w:r>
            <w:commentRangeStart w:id="16"/>
            <w:r w:rsidDel="00000000" w:rsidR="00000000" w:rsidRPr="00000000">
              <w:rPr>
                <w:rtl w:val="0"/>
              </w:rPr>
              <w:t xml:space="preserve">UG</w:t>
            </w:r>
          </w:p>
        </w:tc>
        <w:tc>
          <w:tcPr/>
          <w:p w:rsidR="00000000" w:rsidDel="00000000" w:rsidP="00000000" w:rsidRDefault="00000000" w:rsidRPr="00000000" w14:paraId="00000036">
            <w:pPr>
              <w:rPr/>
            </w:pPr>
            <w:r w:rsidDel="00000000" w:rsidR="00000000" w:rsidRPr="00000000">
              <w:rPr>
                <w:rtl w:val="0"/>
              </w:rPr>
              <w:t xml:space="preserve">Final‑year undergraduate</w:t>
            </w:r>
          </w:p>
        </w:tc>
        <w:tc>
          <w:tcPr/>
          <w:p w:rsidR="00000000" w:rsidDel="00000000" w:rsidP="00000000" w:rsidRDefault="00000000" w:rsidRPr="00000000" w14:paraId="00000037">
            <w:pPr>
              <w:rPr/>
            </w:pPr>
            <w:r w:rsidDel="00000000" w:rsidR="00000000" w:rsidRPr="00000000">
              <w:rPr>
                <w:rtl w:val="0"/>
              </w:rPr>
              <w:t xml:space="preserve">60</w:t>
            </w:r>
          </w:p>
        </w:tc>
      </w:tr>
    </w:tbl>
    <w:p w:rsidR="00000000" w:rsidDel="00000000" w:rsidP="00000000" w:rsidRDefault="00000000" w:rsidRPr="00000000" w14:paraId="00000038">
      <w:pPr>
        <w:rPr/>
      </w:pPr>
      <w:commentRangeEnd w:id="16"/>
      <w:r w:rsidDel="00000000" w:rsidR="00000000" w:rsidRPr="00000000">
        <w:commentReference w:id="16"/>
      </w:r>
      <w:commentRangeStart w:id="17"/>
      <w:r w:rsidDel="00000000" w:rsidR="00000000" w:rsidRPr="00000000">
        <w:rPr>
          <w:rtl w:val="0"/>
        </w:rPr>
        <w:t xml:space="preserve">Randomization: 1:1 AI vs. control within each stratum.</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3.3 Sample Size &amp; Power</w:t>
      </w:r>
    </w:p>
    <w:p w:rsidR="00000000" w:rsidDel="00000000" w:rsidP="00000000" w:rsidRDefault="00000000" w:rsidRPr="00000000" w14:paraId="0000003A">
      <w:pPr>
        <w:rPr/>
      </w:pPr>
      <w:r w:rsidDel="00000000" w:rsidR="00000000" w:rsidRPr="00000000">
        <w:rPr>
          <w:rtl w:val="0"/>
        </w:rPr>
        <w:t xml:space="preserve">With a planned sample of 300 individuals, roughly 60 per expertise tier, our 10,000-iteration power simulation starts from three empirical premises: (i) in the control arm, professors outperform </w:t>
      </w:r>
      <w:commentRangeStart w:id="18"/>
      <w:r w:rsidDel="00000000" w:rsidR="00000000" w:rsidRPr="00000000">
        <w:rPr>
          <w:rtl w:val="0"/>
        </w:rPr>
        <w:t xml:space="preserve">undergraduates</w:t>
      </w:r>
      <w:commentRangeEnd w:id="18"/>
      <w:r w:rsidDel="00000000" w:rsidR="00000000" w:rsidRPr="00000000">
        <w:commentReference w:id="18"/>
      </w:r>
      <w:r w:rsidDel="00000000" w:rsidR="00000000" w:rsidRPr="00000000">
        <w:rPr>
          <w:rtl w:val="0"/>
        </w:rPr>
        <w:t xml:space="preserve"> by about</w:t>
      </w:r>
      <w:commentRangeStart w:id="19"/>
      <w:commentRangeStart w:id="20"/>
      <w:commentRangeStart w:id="21"/>
      <w:r w:rsidDel="00000000" w:rsidR="00000000" w:rsidRPr="00000000">
        <w:rPr>
          <w:rtl w:val="0"/>
        </w:rPr>
        <w:t xml:space="preserve"> 15 </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percentage points in successfully reproducing results; (ii) granting ChatGPT Plus is expected to shrink that gap by at least 40 percent (a six-point improvement for undergraduates); and (iii) hypothesis tests are run at the 5 percent level with standard errors clustered by event-software cells.  Under those assumptions, the design attains ≈ 82 percent power to detect the key interaction for undergraduates (δ_UG = –0.06) and over 90 percent power for the joint “compression across all tiers” test, </w:t>
      </w:r>
      <w:commentRangeStart w:id="22"/>
      <w:commentRangeStart w:id="23"/>
      <w:commentRangeStart w:id="24"/>
      <w:commentRangeStart w:id="25"/>
      <w:r w:rsidDel="00000000" w:rsidR="00000000" w:rsidRPr="00000000">
        <w:rPr>
          <w:rtl w:val="0"/>
        </w:rPr>
        <w:t xml:space="preserve">providing ample sensitivity without exceeding the logistical limits of four one-day events.</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4. </w:t>
      </w:r>
      <w:commentRangeStart w:id="26"/>
      <w:r w:rsidDel="00000000" w:rsidR="00000000" w:rsidRPr="00000000">
        <w:rPr>
          <w:rtl w:val="0"/>
        </w:rPr>
        <w:t xml:space="preserve">Setting, Participants, &amp; Authorship</w:t>
      </w:r>
      <w:commentRangeEnd w:id="26"/>
      <w:r w:rsidDel="00000000" w:rsidR="00000000" w:rsidRPr="00000000">
        <w:commentReference w:id="26"/>
      </w:r>
      <w:r w:rsidDel="00000000" w:rsidR="00000000" w:rsidRPr="00000000">
        <w:rPr>
          <w:rtl w:val="0"/>
        </w:rPr>
      </w:r>
    </w:p>
    <w:tbl>
      <w:tblPr>
        <w:tblStyle w:val="Table3"/>
        <w:tblW w:w="864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3C">
            <w:pPr>
              <w:rPr/>
            </w:pPr>
            <w:r w:rsidDel="00000000" w:rsidR="00000000" w:rsidRPr="00000000">
              <w:rPr>
                <w:rtl w:val="0"/>
              </w:rPr>
              <w:t xml:space="preserve">Item</w:t>
            </w:r>
          </w:p>
        </w:tc>
        <w:tc>
          <w:tcPr/>
          <w:p w:rsidR="00000000" w:rsidDel="00000000" w:rsidP="00000000" w:rsidRDefault="00000000" w:rsidRPr="00000000" w14:paraId="0000003D">
            <w:pPr>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Events</w:t>
            </w:r>
          </w:p>
        </w:tc>
        <w:tc>
          <w:tcPr/>
          <w:p w:rsidR="00000000" w:rsidDel="00000000" w:rsidP="00000000" w:rsidRDefault="00000000" w:rsidRPr="00000000" w14:paraId="0000003F">
            <w:pPr>
              <w:rPr/>
            </w:pPr>
            <w:r w:rsidDel="00000000" w:rsidR="00000000" w:rsidRPr="00000000">
              <w:rPr>
                <w:rtl w:val="0"/>
              </w:rPr>
              <w:t xml:space="preserve">Four one‑day games Oct–Nov 2025.</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Recruitment</w:t>
            </w:r>
          </w:p>
        </w:tc>
        <w:tc>
          <w:tcPr/>
          <w:p w:rsidR="00000000" w:rsidDel="00000000" w:rsidP="00000000" w:rsidRDefault="00000000" w:rsidRPr="00000000" w14:paraId="00000041">
            <w:pPr>
              <w:rPr/>
            </w:pPr>
            <w:r w:rsidDel="00000000" w:rsidR="00000000" w:rsidRPr="00000000">
              <w:rPr>
                <w:rtl w:val="0"/>
              </w:rPr>
              <w:t xml:space="preserve">I4R mailing lists, departmental calls, social media.</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Eligibility</w:t>
            </w:r>
          </w:p>
        </w:tc>
        <w:tc>
          <w:tcPr/>
          <w:p w:rsidR="00000000" w:rsidDel="00000000" w:rsidP="00000000" w:rsidRDefault="00000000" w:rsidRPr="00000000" w14:paraId="00000043">
            <w:pPr>
              <w:rPr/>
            </w:pPr>
            <w:r w:rsidDel="00000000" w:rsidR="00000000" w:rsidRPr="00000000">
              <w:rPr>
                <w:rtl w:val="0"/>
              </w:rPr>
              <w:t xml:space="preserve">Quant methods background; own laptop; data‑sharing agreement.</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Authorship</w:t>
            </w:r>
          </w:p>
        </w:tc>
        <w:tc>
          <w:tcPr/>
          <w:p w:rsidR="00000000" w:rsidDel="00000000" w:rsidP="00000000" w:rsidRDefault="00000000" w:rsidRPr="00000000" w14:paraId="00000045">
            <w:pPr>
              <w:rPr/>
            </w:pPr>
            <w:r w:rsidDel="00000000" w:rsidR="00000000" w:rsidRPr="00000000">
              <w:rPr>
                <w:rtl w:val="0"/>
              </w:rPr>
              <w:t xml:space="preserve">All compliant participants listed alphabetically after PIs.</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Ethics</w:t>
            </w:r>
          </w:p>
        </w:tc>
        <w:tc>
          <w:tcPr/>
          <w:p w:rsidR="00000000" w:rsidDel="00000000" w:rsidP="00000000" w:rsidRDefault="00000000" w:rsidRPr="00000000" w14:paraId="00000047">
            <w:pPr>
              <w:rPr/>
            </w:pPr>
            <w:r w:rsidDel="00000000" w:rsidR="00000000" w:rsidRPr="00000000">
              <w:rPr>
                <w:rtl w:val="0"/>
              </w:rPr>
              <w:t xml:space="preserve">No sensitive data; IRB exemption anticipated.</w:t>
            </w:r>
          </w:p>
        </w:tc>
      </w:tr>
    </w:tbl>
    <w:p w:rsidR="00000000" w:rsidDel="00000000" w:rsidP="00000000" w:rsidRDefault="00000000" w:rsidRPr="00000000" w14:paraId="00000048">
      <w:pPr>
        <w:pStyle w:val="Heading2"/>
        <w:rPr/>
      </w:pPr>
      <w:r w:rsidDel="00000000" w:rsidR="00000000" w:rsidRPr="00000000">
        <w:rPr>
          <w:rtl w:val="0"/>
        </w:rPr>
        <w:t xml:space="preserve">5. Tasks &amp; Materials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Computational reproduction of a prespecified result.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 detection (classify major versus minor).</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Propose and attempt at least two robustness checks.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One-page referee report (tbd)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E">
      <w:pPr>
        <w:rPr/>
      </w:pPr>
      <w:commentRangeStart w:id="27"/>
      <w:r w:rsidDel="00000000" w:rsidR="00000000" w:rsidRPr="00000000">
        <w:rPr>
          <w:rtl w:val="0"/>
        </w:rPr>
        <w:t xml:space="preserve">Materials: PDF, replication package, screenshot, Excel logbook, and ChatGPT transcript template (treatment only). Work window: 7 h (09:00–16:00). Treatment arm completes 1‑h ChatGPT training beforehand.</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6. Outcome Variables</w:t>
      </w:r>
    </w:p>
    <w:tbl>
      <w:tblPr>
        <w:tblStyle w:val="Table4"/>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50">
            <w:pPr>
              <w:rPr>
                <w:b w:val="1"/>
              </w:rPr>
            </w:pPr>
            <w:r w:rsidDel="00000000" w:rsidR="00000000" w:rsidRPr="00000000">
              <w:rPr>
                <w:b w:val="1"/>
                <w:rtl w:val="0"/>
              </w:rPr>
              <w:t xml:space="preserve">Domain</w:t>
            </w:r>
          </w:p>
        </w:tc>
        <w:tc>
          <w:tcPr/>
          <w:p w:rsidR="00000000" w:rsidDel="00000000" w:rsidP="00000000" w:rsidRDefault="00000000" w:rsidRPr="00000000" w14:paraId="00000051">
            <w:pPr>
              <w:rPr>
                <w:b w:val="1"/>
              </w:rPr>
            </w:pPr>
            <w:r w:rsidDel="00000000" w:rsidR="00000000" w:rsidRPr="00000000">
              <w:rPr>
                <w:b w:val="1"/>
                <w:rtl w:val="0"/>
              </w:rPr>
              <w:t xml:space="preserve">Variable</w:t>
            </w:r>
          </w:p>
        </w:tc>
        <w:tc>
          <w:tcPr/>
          <w:p w:rsidR="00000000" w:rsidDel="00000000" w:rsidP="00000000" w:rsidRDefault="00000000" w:rsidRPr="00000000" w14:paraId="00000052">
            <w:pPr>
              <w:rPr>
                <w:b w:val="1"/>
              </w:rPr>
            </w:pPr>
            <w:r w:rsidDel="00000000" w:rsidR="00000000" w:rsidRPr="00000000">
              <w:rPr>
                <w:b w:val="1"/>
                <w:rtl w:val="0"/>
              </w:rPr>
              <w:t xml:space="preserve">Scale</w:t>
            </w:r>
          </w:p>
        </w:tc>
        <w:tc>
          <w:tcPr/>
          <w:p w:rsidR="00000000" w:rsidDel="00000000" w:rsidP="00000000" w:rsidRDefault="00000000" w:rsidRPr="00000000" w14:paraId="00000053">
            <w:pPr>
              <w:rPr>
                <w:b w:val="1"/>
              </w:rPr>
            </w:pPr>
            <w:r w:rsidDel="00000000" w:rsidR="00000000" w:rsidRPr="00000000">
              <w:rPr>
                <w:b w:val="1"/>
                <w:rtl w:val="0"/>
              </w:rPr>
              <w:t xml:space="preserve">Source</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Reproduction</w:t>
            </w:r>
          </w:p>
        </w:tc>
        <w:tc>
          <w:tcPr/>
          <w:p w:rsidR="00000000" w:rsidDel="00000000" w:rsidP="00000000" w:rsidRDefault="00000000" w:rsidRPr="00000000" w14:paraId="00000055">
            <w:pPr>
              <w:rPr/>
            </w:pPr>
            <w:r w:rsidDel="00000000" w:rsidR="00000000" w:rsidRPr="00000000">
              <w:rPr>
                <w:rtl w:val="0"/>
              </w:rPr>
              <w:t xml:space="preserve">Success (0/1)</w:t>
            </w:r>
          </w:p>
        </w:tc>
        <w:tc>
          <w:tcPr/>
          <w:p w:rsidR="00000000" w:rsidDel="00000000" w:rsidP="00000000" w:rsidRDefault="00000000" w:rsidRPr="00000000" w14:paraId="00000056">
            <w:pPr>
              <w:rPr/>
            </w:pPr>
            <w:r w:rsidDel="00000000" w:rsidR="00000000" w:rsidRPr="00000000">
              <w:rPr>
                <w:rtl w:val="0"/>
              </w:rPr>
              <w:t xml:space="preserve">Binary</w:t>
            </w:r>
          </w:p>
        </w:tc>
        <w:tc>
          <w:tcPr/>
          <w:p w:rsidR="00000000" w:rsidDel="00000000" w:rsidP="00000000" w:rsidRDefault="00000000" w:rsidRPr="00000000" w14:paraId="00000057">
            <w:pPr>
              <w:rPr/>
            </w:pPr>
            <w:r w:rsidDel="00000000" w:rsidR="00000000" w:rsidRPr="00000000">
              <w:rPr>
                <w:rtl w:val="0"/>
              </w:rPr>
              <w:t xml:space="preserve">Log sheet</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Reproduction</w:t>
            </w:r>
          </w:p>
        </w:tc>
        <w:tc>
          <w:tcPr/>
          <w:p w:rsidR="00000000" w:rsidDel="00000000" w:rsidP="00000000" w:rsidRDefault="00000000" w:rsidRPr="00000000" w14:paraId="00000059">
            <w:pPr>
              <w:rPr/>
            </w:pPr>
            <w:r w:rsidDel="00000000" w:rsidR="00000000" w:rsidRPr="00000000">
              <w:rPr>
                <w:rtl w:val="0"/>
              </w:rPr>
              <w:t xml:space="preserve">Minutes‑to‑success (censor 420)</w:t>
            </w:r>
          </w:p>
        </w:tc>
        <w:tc>
          <w:tcPr/>
          <w:p w:rsidR="00000000" w:rsidDel="00000000" w:rsidP="00000000" w:rsidRDefault="00000000" w:rsidRPr="00000000" w14:paraId="0000005A">
            <w:pPr>
              <w:rPr/>
            </w:pPr>
            <w:r w:rsidDel="00000000" w:rsidR="00000000" w:rsidRPr="00000000">
              <w:rPr>
                <w:rtl w:val="0"/>
              </w:rPr>
              <w:t xml:space="preserve">Continuous</w:t>
            </w:r>
          </w:p>
        </w:tc>
        <w:tc>
          <w:tcPr/>
          <w:p w:rsidR="00000000" w:rsidDel="00000000" w:rsidP="00000000" w:rsidRDefault="00000000" w:rsidRPr="00000000" w14:paraId="0000005B">
            <w:pPr>
              <w:rPr/>
            </w:pPr>
            <w:r w:rsidDel="00000000" w:rsidR="00000000" w:rsidRPr="00000000">
              <w:rPr>
                <w:rtl w:val="0"/>
              </w:rPr>
              <w:t xml:space="preserve">Log sheet</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Error detection</w:t>
            </w:r>
          </w:p>
        </w:tc>
        <w:tc>
          <w:tcPr/>
          <w:p w:rsidR="00000000" w:rsidDel="00000000" w:rsidP="00000000" w:rsidRDefault="00000000" w:rsidRPr="00000000" w14:paraId="0000005D">
            <w:pPr>
              <w:rPr/>
            </w:pPr>
            <w:r w:rsidDel="00000000" w:rsidR="00000000" w:rsidRPr="00000000">
              <w:rPr>
                <w:rtl w:val="0"/>
              </w:rPr>
              <w:t xml:space="preserve"># Minor errors</w:t>
            </w:r>
          </w:p>
        </w:tc>
        <w:tc>
          <w:tcPr/>
          <w:p w:rsidR="00000000" w:rsidDel="00000000" w:rsidP="00000000" w:rsidRDefault="00000000" w:rsidRPr="00000000" w14:paraId="0000005E">
            <w:pPr>
              <w:rPr/>
            </w:pPr>
            <w:r w:rsidDel="00000000" w:rsidR="00000000" w:rsidRPr="00000000">
              <w:rPr>
                <w:rtl w:val="0"/>
              </w:rPr>
              <w:t xml:space="preserve">Count</w:t>
            </w:r>
          </w:p>
        </w:tc>
        <w:tc>
          <w:tcPr/>
          <w:p w:rsidR="00000000" w:rsidDel="00000000" w:rsidP="00000000" w:rsidRDefault="00000000" w:rsidRPr="00000000" w14:paraId="0000005F">
            <w:pPr>
              <w:rPr/>
            </w:pPr>
            <w:r w:rsidDel="00000000" w:rsidR="00000000" w:rsidRPr="00000000">
              <w:rPr>
                <w:rtl w:val="0"/>
              </w:rPr>
              <w:t xml:space="preserve">Error tab</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Error detection</w:t>
            </w:r>
          </w:p>
        </w:tc>
        <w:tc>
          <w:tcPr/>
          <w:p w:rsidR="00000000" w:rsidDel="00000000" w:rsidP="00000000" w:rsidRDefault="00000000" w:rsidRPr="00000000" w14:paraId="00000061">
            <w:pPr>
              <w:rPr/>
            </w:pPr>
            <w:r w:rsidDel="00000000" w:rsidR="00000000" w:rsidRPr="00000000">
              <w:rPr>
                <w:rtl w:val="0"/>
              </w:rPr>
              <w:t xml:space="preserve"># Major errors</w:t>
            </w:r>
          </w:p>
        </w:tc>
        <w:tc>
          <w:tcPr/>
          <w:p w:rsidR="00000000" w:rsidDel="00000000" w:rsidP="00000000" w:rsidRDefault="00000000" w:rsidRPr="00000000" w14:paraId="00000062">
            <w:pPr>
              <w:rPr/>
            </w:pPr>
            <w:r w:rsidDel="00000000" w:rsidR="00000000" w:rsidRPr="00000000">
              <w:rPr>
                <w:rtl w:val="0"/>
              </w:rPr>
              <w:t xml:space="preserve">Count</w:t>
            </w:r>
          </w:p>
        </w:tc>
        <w:tc>
          <w:tcPr/>
          <w:p w:rsidR="00000000" w:rsidDel="00000000" w:rsidP="00000000" w:rsidRDefault="00000000" w:rsidRPr="00000000" w14:paraId="00000063">
            <w:pPr>
              <w:rPr/>
            </w:pPr>
            <w:r w:rsidDel="00000000" w:rsidR="00000000" w:rsidRPr="00000000">
              <w:rPr>
                <w:rtl w:val="0"/>
              </w:rPr>
              <w:t xml:space="preserve">Error tab</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Robustness</w:t>
            </w:r>
          </w:p>
        </w:tc>
        <w:tc>
          <w:tcPr/>
          <w:p w:rsidR="00000000" w:rsidDel="00000000" w:rsidP="00000000" w:rsidRDefault="00000000" w:rsidRPr="00000000" w14:paraId="00000065">
            <w:pPr>
              <w:rPr/>
            </w:pPr>
            <w:r w:rsidDel="00000000" w:rsidR="00000000" w:rsidRPr="00000000">
              <w:rPr>
                <w:rtl w:val="0"/>
              </w:rPr>
              <w:t xml:space="preserve">≥1 / ≥2 “good” checks</w:t>
            </w:r>
          </w:p>
        </w:tc>
        <w:tc>
          <w:tcPr/>
          <w:p w:rsidR="00000000" w:rsidDel="00000000" w:rsidP="00000000" w:rsidRDefault="00000000" w:rsidRPr="00000000" w14:paraId="00000066">
            <w:pPr>
              <w:rPr/>
            </w:pPr>
            <w:r w:rsidDel="00000000" w:rsidR="00000000" w:rsidRPr="00000000">
              <w:rPr>
                <w:rtl w:val="0"/>
              </w:rPr>
              <w:t xml:space="preserve">Binary</w:t>
            </w:r>
          </w:p>
        </w:tc>
        <w:tc>
          <w:tcPr/>
          <w:p w:rsidR="00000000" w:rsidDel="00000000" w:rsidP="00000000" w:rsidRDefault="00000000" w:rsidRPr="00000000" w14:paraId="00000067">
            <w:pPr>
              <w:rPr/>
            </w:pPr>
            <w:r w:rsidDel="00000000" w:rsidR="00000000" w:rsidRPr="00000000">
              <w:rPr>
                <w:rtl w:val="0"/>
              </w:rPr>
              <w:t xml:space="preserve">Review panel</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Implementation</w:t>
            </w:r>
          </w:p>
        </w:tc>
        <w:tc>
          <w:tcPr/>
          <w:p w:rsidR="00000000" w:rsidDel="00000000" w:rsidP="00000000" w:rsidRDefault="00000000" w:rsidRPr="00000000" w14:paraId="00000069">
            <w:pPr>
              <w:rPr/>
            </w:pPr>
            <w:r w:rsidDel="00000000" w:rsidR="00000000" w:rsidRPr="00000000">
              <w:rPr>
                <w:rtl w:val="0"/>
              </w:rPr>
              <w:t xml:space="preserve">Ran ≥1 proposed check</w:t>
            </w:r>
          </w:p>
        </w:tc>
        <w:tc>
          <w:tcPr/>
          <w:p w:rsidR="00000000" w:rsidDel="00000000" w:rsidP="00000000" w:rsidRDefault="00000000" w:rsidRPr="00000000" w14:paraId="0000006A">
            <w:pPr>
              <w:rPr/>
            </w:pPr>
            <w:r w:rsidDel="00000000" w:rsidR="00000000" w:rsidRPr="00000000">
              <w:rPr>
                <w:rtl w:val="0"/>
              </w:rPr>
              <w:t xml:space="preserve">Binary</w:t>
            </w:r>
          </w:p>
        </w:tc>
        <w:tc>
          <w:tcPr/>
          <w:p w:rsidR="00000000" w:rsidDel="00000000" w:rsidP="00000000" w:rsidRDefault="00000000" w:rsidRPr="00000000" w14:paraId="0000006B">
            <w:pPr>
              <w:rPr/>
            </w:pPr>
            <w:r w:rsidDel="00000000" w:rsidR="00000000" w:rsidRPr="00000000">
              <w:rPr>
                <w:rtl w:val="0"/>
              </w:rPr>
              <w:t xml:space="preserve">Code evidence</w:t>
            </w:r>
          </w:p>
        </w:tc>
      </w:tr>
      <w:tr>
        <w:trPr>
          <w:cantSplit w:val="0"/>
          <w:tblHeader w:val="0"/>
        </w:trPr>
        <w:tc>
          <w:tcPr/>
          <w:p w:rsidR="00000000" w:rsidDel="00000000" w:rsidP="00000000" w:rsidRDefault="00000000" w:rsidRPr="00000000" w14:paraId="0000006C">
            <w:pPr>
              <w:rPr/>
            </w:pPr>
            <w:commentRangeStart w:id="28"/>
            <w:r w:rsidDel="00000000" w:rsidR="00000000" w:rsidRPr="00000000">
              <w:rPr>
                <w:rtl w:val="0"/>
              </w:rPr>
              <w:t xml:space="preserve">Clarity</w:t>
            </w:r>
          </w:p>
        </w:tc>
        <w:tc>
          <w:tcPr/>
          <w:p w:rsidR="00000000" w:rsidDel="00000000" w:rsidP="00000000" w:rsidRDefault="00000000" w:rsidRPr="00000000" w14:paraId="0000006D">
            <w:pPr>
              <w:rPr/>
            </w:pPr>
            <w:commentRangeEnd w:id="28"/>
            <w:r w:rsidDel="00000000" w:rsidR="00000000" w:rsidRPr="00000000">
              <w:commentReference w:id="28"/>
            </w:r>
            <w:r w:rsidDel="00000000" w:rsidR="00000000" w:rsidRPr="00000000">
              <w:rPr>
                <w:rtl w:val="0"/>
              </w:rPr>
              <w:t xml:space="preserve">Mean 0‑5 blind score</w:t>
            </w:r>
          </w:p>
        </w:tc>
        <w:tc>
          <w:tcPr/>
          <w:p w:rsidR="00000000" w:rsidDel="00000000" w:rsidP="00000000" w:rsidRDefault="00000000" w:rsidRPr="00000000" w14:paraId="0000006E">
            <w:pPr>
              <w:rPr/>
            </w:pPr>
            <w:r w:rsidDel="00000000" w:rsidR="00000000" w:rsidRPr="00000000">
              <w:rPr>
                <w:rtl w:val="0"/>
              </w:rPr>
              <w:t xml:space="preserve">Continuous</w:t>
            </w:r>
          </w:p>
        </w:tc>
        <w:tc>
          <w:tcPr/>
          <w:p w:rsidR="00000000" w:rsidDel="00000000" w:rsidP="00000000" w:rsidRDefault="00000000" w:rsidRPr="00000000" w14:paraId="0000006F">
            <w:pPr>
              <w:rPr/>
            </w:pPr>
            <w:r w:rsidDel="00000000" w:rsidR="00000000" w:rsidRPr="00000000">
              <w:rPr>
                <w:rtl w:val="0"/>
              </w:rPr>
              <w:t xml:space="preserve">Grading rubric</w:t>
            </w:r>
          </w:p>
        </w:tc>
      </w:tr>
    </w:tbl>
    <w:p w:rsidR="00000000" w:rsidDel="00000000" w:rsidP="00000000" w:rsidRDefault="00000000" w:rsidRPr="00000000" w14:paraId="00000070">
      <w:pPr>
        <w:pStyle w:val="Heading2"/>
        <w:rPr/>
      </w:pPr>
      <w:r w:rsidDel="00000000" w:rsidR="00000000" w:rsidRPr="00000000">
        <w:rPr>
          <w:rtl w:val="0"/>
        </w:rPr>
        <w:t xml:space="preserve">7. Covariates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Years of coding experience (self‑reported).</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Preferred software (R, Stata, Python).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Event and article fixed effects.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commentRangeStart w:id="29"/>
      <w:commentRangeStart w:id="3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Prior ChatGPT familiarity (exploratory).</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8. Statistical Analysis Plan</w:t>
      </w:r>
    </w:p>
    <w:p w:rsidR="00000000" w:rsidDel="00000000" w:rsidP="00000000" w:rsidRDefault="00000000" w:rsidRPr="00000000" w14:paraId="00000076">
      <w:pPr>
        <w:ind w:left="0" w:firstLine="0"/>
        <w:rPr/>
      </w:pPr>
      <w:r w:rsidDel="00000000" w:rsidR="00000000" w:rsidRPr="00000000">
        <w:rPr>
          <w:rtl w:val="0"/>
        </w:rPr>
        <w:t xml:space="preserve">Our core estimation equation is</w:t>
      </w:r>
    </w:p>
    <w:p w:rsidR="00000000" w:rsidDel="00000000" w:rsidP="00000000" w:rsidRDefault="00000000" w:rsidRPr="00000000" w14:paraId="00000077">
      <w:pPr>
        <w:spacing w:after="240" w:before="240" w:lineRule="auto"/>
        <w:rPr/>
      </w:pPr>
      <w:hyperlink r:id="rId8">
        <w:r w:rsidDel="00000000" w:rsidR="00000000" w:rsidRPr="00000000">
          <w:rPr/>
          <w:drawing>
            <wp:inline distB="19050" distT="19050" distL="19050" distR="19050">
              <wp:extent cx="5524500" cy="2159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24500" cy="215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where</w:t>
      </w:r>
    </w:p>
    <w:tbl>
      <w:tblPr>
        <w:tblStyle w:val="Table5"/>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92"/>
        <w:gridCol w:w="3529.728"/>
        <w:gridCol w:w="2852.3520000000003"/>
        <w:tblGridChange w:id="0">
          <w:tblGrid>
            <w:gridCol w:w="2257.92"/>
            <w:gridCol w:w="3529.728"/>
            <w:gridCol w:w="2852.3520000000003"/>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b w:val="1"/>
                <w:sz w:val="16"/>
                <w:szCs w:val="16"/>
              </w:rPr>
            </w:pPr>
            <w:r w:rsidDel="00000000" w:rsidR="00000000" w:rsidRPr="00000000">
              <w:rPr>
                <w:b w:val="1"/>
                <w:sz w:val="16"/>
                <w:szCs w:val="16"/>
                <w:rtl w:val="0"/>
              </w:rPr>
              <w:t xml:space="preserve">Symbol</w:t>
            </w:r>
          </w:p>
        </w:tc>
        <w:tc>
          <w:tcP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b w:val="1"/>
                <w:sz w:val="16"/>
                <w:szCs w:val="16"/>
              </w:rPr>
            </w:pPr>
            <w:r w:rsidDel="00000000" w:rsidR="00000000" w:rsidRPr="00000000">
              <w:rPr>
                <w:b w:val="1"/>
                <w:sz w:val="16"/>
                <w:szCs w:val="16"/>
                <w:rtl w:val="0"/>
              </w:rPr>
              <w:t xml:space="preserve">Definition</w:t>
            </w:r>
          </w:p>
        </w:tc>
        <w:tc>
          <w:tcP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b w:val="1"/>
                <w:sz w:val="16"/>
                <w:szCs w:val="16"/>
              </w:rPr>
            </w:pPr>
            <w:r w:rsidDel="00000000" w:rsidR="00000000" w:rsidRPr="00000000">
              <w:rPr>
                <w:b w:val="1"/>
                <w:sz w:val="16"/>
                <w:szCs w:val="16"/>
                <w:rtl w:val="0"/>
              </w:rPr>
              <w:t xml:space="preserve">Interpretation</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Lines w:val="1"/>
              <w:spacing w:after="0" w:before="0" w:line="240" w:lineRule="auto"/>
              <w:rPr>
                <w:sz w:val="16"/>
                <w:szCs w:val="16"/>
              </w:rPr>
            </w:pPr>
            <w:hyperlink r:id="rId10">
              <w:r w:rsidDel="00000000" w:rsidR="00000000" w:rsidRPr="00000000">
                <w:rPr>
                  <w:sz w:val="16"/>
                  <w:szCs w:val="16"/>
                </w:rPr>
                <w:drawing>
                  <wp:inline distB="19050" distT="19050" distL="19050" distR="19050">
                    <wp:extent cx="165100" cy="1270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Lines w:val="1"/>
              <w:spacing w:after="0" w:before="0" w:line="240" w:lineRule="auto"/>
              <w:rPr>
                <w:sz w:val="16"/>
                <w:szCs w:val="16"/>
              </w:rPr>
            </w:pPr>
            <w:r w:rsidDel="00000000" w:rsidR="00000000" w:rsidRPr="00000000">
              <w:rPr>
                <w:sz w:val="16"/>
                <w:szCs w:val="16"/>
                <w:rtl w:val="0"/>
              </w:rPr>
              <w:t xml:space="preserve">Outcome for individual </w:t>
            </w:r>
            <w:r w:rsidDel="00000000" w:rsidR="00000000" w:rsidRPr="00000000">
              <w:rPr>
                <w:i w:val="1"/>
                <w:sz w:val="16"/>
                <w:szCs w:val="16"/>
                <w:rtl w:val="0"/>
              </w:rPr>
              <w:t xml:space="preserve">i</w:t>
            </w:r>
            <w:r w:rsidDel="00000000" w:rsidR="00000000" w:rsidRPr="00000000">
              <w:rPr>
                <w:sz w:val="16"/>
                <w:szCs w:val="16"/>
                <w:rtl w:val="0"/>
              </w:rPr>
              <w:t xml:space="preserve"> in event </w:t>
            </w:r>
            <w:r w:rsidDel="00000000" w:rsidR="00000000" w:rsidRPr="00000000">
              <w:rPr>
                <w:i w:val="1"/>
                <w:sz w:val="16"/>
                <w:szCs w:val="16"/>
                <w:rtl w:val="0"/>
              </w:rPr>
              <w:t xml:space="preserve">e</w:t>
            </w: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Lines w:val="1"/>
              <w:spacing w:after="0" w:before="0" w:line="240" w:lineRule="auto"/>
              <w:rPr>
                <w:sz w:val="16"/>
                <w:szCs w:val="16"/>
              </w:rPr>
            </w:pPr>
            <w:r w:rsidDel="00000000" w:rsidR="00000000" w:rsidRPr="00000000">
              <w:rPr>
                <w:rtl w:val="0"/>
              </w:rPr>
            </w:r>
          </w:p>
        </w:tc>
      </w:tr>
      <w:tr>
        <w:trPr>
          <w:cantSplit w:val="0"/>
          <w:trHeight w:val="872.1445312499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keepLines w:val="1"/>
              <w:spacing w:after="0" w:before="0" w:line="240" w:lineRule="auto"/>
              <w:rPr>
                <w:sz w:val="16"/>
                <w:szCs w:val="16"/>
              </w:rPr>
            </w:pPr>
            <w:hyperlink r:id="rId12">
              <w:r w:rsidDel="00000000" w:rsidR="00000000" w:rsidRPr="00000000">
                <w:rPr>
                  <w:sz w:val="16"/>
                  <w:szCs w:val="16"/>
                </w:rPr>
                <w:drawing>
                  <wp:inline distB="19050" distT="19050" distL="19050" distR="19050">
                    <wp:extent cx="76200" cy="635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keepLines w:val="1"/>
              <w:spacing w:after="0" w:before="0" w:line="240" w:lineRule="auto"/>
              <w:rPr>
                <w:sz w:val="16"/>
                <w:szCs w:val="16"/>
              </w:rPr>
            </w:pPr>
            <w:r w:rsidDel="00000000" w:rsidR="00000000" w:rsidRPr="00000000">
              <w:rPr>
                <w:sz w:val="16"/>
                <w:szCs w:val="16"/>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81">
            <w:pPr>
              <w:keepLines w:val="1"/>
              <w:spacing w:after="0" w:before="0" w:line="240" w:lineRule="auto"/>
              <w:rPr>
                <w:sz w:val="16"/>
                <w:szCs w:val="16"/>
              </w:rPr>
            </w:pPr>
            <w:r w:rsidDel="00000000" w:rsidR="00000000" w:rsidRPr="00000000">
              <w:rPr>
                <w:sz w:val="16"/>
                <w:szCs w:val="16"/>
                <w:rtl w:val="0"/>
              </w:rPr>
              <w:t xml:space="preserve">Mean outcome for </w:t>
            </w:r>
            <w:r w:rsidDel="00000000" w:rsidR="00000000" w:rsidRPr="00000000">
              <w:rPr>
                <w:b w:val="1"/>
                <w:sz w:val="16"/>
                <w:szCs w:val="16"/>
                <w:rtl w:val="0"/>
              </w:rPr>
              <w:t xml:space="preserve">undergraduates in the control group</w:t>
            </w:r>
            <w:r w:rsidDel="00000000" w:rsidR="00000000" w:rsidRPr="00000000">
              <w:rPr>
                <w:sz w:val="16"/>
                <w:szCs w:val="16"/>
                <w:rtl w:val="0"/>
              </w:rPr>
              <w:t xml:space="preserve"> (reference category).</w:t>
            </w:r>
          </w:p>
        </w:tc>
      </w:tr>
      <w:tr>
        <w:trPr>
          <w:cantSplit w:val="0"/>
          <w:trHeight w:val="7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Lines w:val="1"/>
              <w:spacing w:after="0" w:before="0" w:line="240" w:lineRule="auto"/>
              <w:rPr>
                <w:sz w:val="16"/>
                <w:szCs w:val="16"/>
              </w:rPr>
            </w:pPr>
            <w:hyperlink r:id="rId14">
              <w:r w:rsidDel="00000000" w:rsidR="00000000" w:rsidRPr="00000000">
                <w:rPr>
                  <w:sz w:val="16"/>
                  <w:szCs w:val="16"/>
                </w:rPr>
                <w:drawing>
                  <wp:inline distB="19050" distT="19050" distL="19050" distR="19050">
                    <wp:extent cx="228600" cy="1270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8600" cy="127000"/>
                            </a:xfrm>
                            <a:prstGeom prst="rect"/>
                            <a:ln/>
                          </pic:spPr>
                        </pic:pic>
                      </a:graphicData>
                    </a:graphic>
                  </wp:inline>
                </w:drawing>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Lines w:val="1"/>
              <w:spacing w:after="0" w:before="0" w:line="240" w:lineRule="auto"/>
              <w:rPr>
                <w:sz w:val="16"/>
                <w:szCs w:val="16"/>
              </w:rPr>
            </w:pPr>
            <w:r w:rsidDel="00000000" w:rsidR="00000000" w:rsidRPr="00000000">
              <w:rPr>
                <w:sz w:val="16"/>
                <w:szCs w:val="16"/>
                <w:rtl w:val="0"/>
              </w:rPr>
              <w:t xml:space="preserve">Treatment dummy (= 1 if the participant had ChatGPT Plus access)</w:t>
            </w:r>
          </w:p>
        </w:tc>
        <w:tc>
          <w:tcPr>
            <w:tcMar>
              <w:top w:w="100.0" w:type="dxa"/>
              <w:left w:w="100.0" w:type="dxa"/>
              <w:bottom w:w="100.0" w:type="dxa"/>
              <w:right w:w="100.0" w:type="dxa"/>
            </w:tcMar>
            <w:vAlign w:val="top"/>
          </w:tcPr>
          <w:p w:rsidR="00000000" w:rsidDel="00000000" w:rsidP="00000000" w:rsidRDefault="00000000" w:rsidRPr="00000000" w14:paraId="00000084">
            <w:pPr>
              <w:keepLines w:val="1"/>
              <w:spacing w:after="0" w:before="0" w:line="240" w:lineRule="auto"/>
              <w:rPr>
                <w:sz w:val="16"/>
                <w:szCs w:val="16"/>
              </w:rPr>
            </w:pPr>
            <w:hyperlink r:id="rId16">
              <w:r w:rsidDel="00000000" w:rsidR="00000000" w:rsidRPr="00000000">
                <w:rPr>
                  <w:sz w:val="16"/>
                  <w:szCs w:val="16"/>
                </w:rPr>
                <w:drawing>
                  <wp:inline distB="19050" distT="19050" distL="19050" distR="19050">
                    <wp:extent cx="88900" cy="1016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88900" cy="101600"/>
                            </a:xfrm>
                            <a:prstGeom prst="rect"/>
                            <a:ln/>
                          </pic:spPr>
                        </pic:pic>
                      </a:graphicData>
                    </a:graphic>
                  </wp:inline>
                </w:drawing>
              </w:r>
            </w:hyperlink>
            <w:r w:rsidDel="00000000" w:rsidR="00000000" w:rsidRPr="00000000">
              <w:rPr>
                <w:sz w:val="16"/>
                <w:szCs w:val="16"/>
                <w:rtl w:val="0"/>
              </w:rPr>
              <w:t xml:space="preserve"> captures the average treatment effect for undergraduates (the omitted tier).</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keepLines w:val="1"/>
              <w:spacing w:after="0" w:before="0" w:line="240" w:lineRule="auto"/>
              <w:rPr>
                <w:sz w:val="16"/>
                <w:szCs w:val="16"/>
              </w:rPr>
            </w:pPr>
            <w:hyperlink r:id="rId18">
              <w:r w:rsidDel="00000000" w:rsidR="00000000" w:rsidRPr="00000000">
                <w:rPr>
                  <w:sz w:val="16"/>
                  <w:szCs w:val="16"/>
                </w:rPr>
                <w:drawing>
                  <wp:inline distB="19050" distT="19050" distL="19050" distR="19050">
                    <wp:extent cx="368300" cy="127000"/>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68300" cy="127000"/>
                            </a:xfrm>
                            <a:prstGeom prst="rect"/>
                            <a:ln/>
                          </pic:spPr>
                        </pic:pic>
                      </a:graphicData>
                    </a:graphic>
                  </wp:inline>
                </w:drawing>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keepLines w:val="1"/>
              <w:spacing w:after="0" w:before="0" w:line="240" w:lineRule="auto"/>
              <w:rPr>
                <w:sz w:val="16"/>
                <w:szCs w:val="16"/>
              </w:rPr>
            </w:pPr>
            <w:r w:rsidDel="00000000" w:rsidR="00000000" w:rsidRPr="00000000">
              <w:rPr>
                <w:sz w:val="16"/>
                <w:szCs w:val="16"/>
                <w:rtl w:val="0"/>
              </w:rPr>
              <w:t xml:space="preserve">Four dummies identifying the higher-ranked tiers—Master’s, PhD, Post-doc, and Professor (undergraduates are the baseline)</w:t>
            </w:r>
          </w:p>
        </w:tc>
        <w:tc>
          <w:tcPr>
            <w:tcMar>
              <w:top w:w="100.0" w:type="dxa"/>
              <w:left w:w="100.0" w:type="dxa"/>
              <w:bottom w:w="100.0" w:type="dxa"/>
              <w:right w:w="100.0" w:type="dxa"/>
            </w:tcMar>
            <w:vAlign w:val="top"/>
          </w:tcPr>
          <w:p w:rsidR="00000000" w:rsidDel="00000000" w:rsidP="00000000" w:rsidRDefault="00000000" w:rsidRPr="00000000" w14:paraId="00000087">
            <w:pPr>
              <w:keepLines w:val="1"/>
              <w:spacing w:after="0" w:before="0" w:line="240" w:lineRule="auto"/>
              <w:rPr>
                <w:sz w:val="16"/>
                <w:szCs w:val="16"/>
              </w:rPr>
            </w:pPr>
            <w:r w:rsidDel="00000000" w:rsidR="00000000" w:rsidRPr="00000000">
              <w:rPr>
                <w:sz w:val="16"/>
                <w:szCs w:val="16"/>
                <w:rtl w:val="0"/>
              </w:rPr>
              <w:t xml:space="preserve">Each </w:t>
            </w:r>
            <w:hyperlink r:id="rId20">
              <w:r w:rsidDel="00000000" w:rsidR="00000000" w:rsidRPr="00000000">
                <w:rPr>
                  <w:sz w:val="16"/>
                  <w:szCs w:val="16"/>
                </w:rPr>
                <w:drawing>
                  <wp:inline distB="19050" distT="19050" distL="19050" distR="19050">
                    <wp:extent cx="88900" cy="76200"/>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88900" cy="76200"/>
                            </a:xfrm>
                            <a:prstGeom prst="rect"/>
                            <a:ln/>
                          </pic:spPr>
                        </pic:pic>
                      </a:graphicData>
                    </a:graphic>
                  </wp:inline>
                </w:drawing>
              </w:r>
            </w:hyperlink>
            <w:r w:rsidDel="00000000" w:rsidR="00000000" w:rsidRPr="00000000">
              <w:rPr>
                <w:sz w:val="16"/>
                <w:szCs w:val="16"/>
                <w:rtl w:val="0"/>
              </w:rPr>
              <w:t xml:space="preserve"> measures how much better or worse that tier performs relative to undergraduates when </w:t>
            </w:r>
            <w:r w:rsidDel="00000000" w:rsidR="00000000" w:rsidRPr="00000000">
              <w:rPr>
                <w:b w:val="1"/>
                <w:sz w:val="16"/>
                <w:szCs w:val="16"/>
                <w:rtl w:val="0"/>
              </w:rPr>
              <w:t xml:space="preserve">no AI</w:t>
            </w:r>
            <w:r w:rsidDel="00000000" w:rsidR="00000000" w:rsidRPr="00000000">
              <w:rPr>
                <w:sz w:val="16"/>
                <w:szCs w:val="16"/>
                <w:rtl w:val="0"/>
              </w:rPr>
              <w:t xml:space="preserve"> is available.</w:t>
            </w:r>
          </w:p>
        </w:tc>
      </w:tr>
      <w:tr>
        <w:trPr>
          <w:cantSplit w:val="0"/>
          <w:trHeight w:val="1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Lines w:val="1"/>
              <w:spacing w:after="0" w:before="0" w:line="240" w:lineRule="auto"/>
              <w:rPr>
                <w:sz w:val="16"/>
                <w:szCs w:val="16"/>
              </w:rPr>
            </w:pPr>
            <w:hyperlink r:id="rId22">
              <w:r w:rsidDel="00000000" w:rsidR="00000000" w:rsidRPr="00000000">
                <w:rPr>
                  <w:sz w:val="16"/>
                  <w:szCs w:val="16"/>
                </w:rPr>
                <w:drawing>
                  <wp:inline distB="19050" distT="19050" distL="19050" distR="19050">
                    <wp:extent cx="800100" cy="114300"/>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800100" cy="114300"/>
                            </a:xfrm>
                            <a:prstGeom prst="rect"/>
                            <a:ln/>
                          </pic:spPr>
                        </pic:pic>
                      </a:graphicData>
                    </a:graphic>
                  </wp:inline>
                </w:drawing>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keepLines w:val="1"/>
              <w:spacing w:after="0" w:before="0" w:line="240" w:lineRule="auto"/>
              <w:rPr>
                <w:sz w:val="16"/>
                <w:szCs w:val="16"/>
              </w:rPr>
            </w:pPr>
            <w:r w:rsidDel="00000000" w:rsidR="00000000" w:rsidRPr="00000000">
              <w:rPr>
                <w:sz w:val="16"/>
                <w:szCs w:val="16"/>
                <w:rtl w:val="0"/>
              </w:rPr>
              <w:t xml:space="preserve">Interaction between treatment and tier</w:t>
            </w:r>
          </w:p>
        </w:tc>
        <w:tc>
          <w:tcPr>
            <w:tcMar>
              <w:top w:w="100.0" w:type="dxa"/>
              <w:left w:w="100.0" w:type="dxa"/>
              <w:bottom w:w="100.0" w:type="dxa"/>
              <w:right w:w="100.0" w:type="dxa"/>
            </w:tcMar>
            <w:vAlign w:val="top"/>
          </w:tcPr>
          <w:p w:rsidR="00000000" w:rsidDel="00000000" w:rsidP="00000000" w:rsidRDefault="00000000" w:rsidRPr="00000000" w14:paraId="0000008A">
            <w:pPr>
              <w:keepLines w:val="1"/>
              <w:spacing w:after="0" w:before="0" w:line="240" w:lineRule="auto"/>
              <w:rPr>
                <w:sz w:val="16"/>
                <w:szCs w:val="16"/>
              </w:rPr>
            </w:pPr>
            <w:r w:rsidDel="00000000" w:rsidR="00000000" w:rsidRPr="00000000">
              <w:rPr>
                <w:sz w:val="16"/>
                <w:szCs w:val="16"/>
                <w:rtl w:val="0"/>
              </w:rPr>
              <w:t xml:space="preserve">Each </w:t>
            </w:r>
            <w:hyperlink r:id="rId24">
              <w:r w:rsidDel="00000000" w:rsidR="00000000" w:rsidRPr="00000000">
                <w:rPr>
                  <w:sz w:val="16"/>
                  <w:szCs w:val="16"/>
                </w:rPr>
                <w:drawing>
                  <wp:inline distB="19050" distT="19050" distL="19050" distR="19050">
                    <wp:extent cx="76200" cy="889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76200" cy="88900"/>
                            </a:xfrm>
                            <a:prstGeom prst="rect"/>
                            <a:ln/>
                          </pic:spPr>
                        </pic:pic>
                      </a:graphicData>
                    </a:graphic>
                  </wp:inline>
                </w:drawing>
              </w:r>
            </w:hyperlink>
            <w:r w:rsidDel="00000000" w:rsidR="00000000" w:rsidRPr="00000000">
              <w:rPr>
                <w:sz w:val="16"/>
                <w:szCs w:val="16"/>
                <w:rtl w:val="0"/>
              </w:rPr>
              <w:t xml:space="preserve"> tells us whether ChatGPT Plus changes the </w:t>
            </w:r>
            <w:r w:rsidDel="00000000" w:rsidR="00000000" w:rsidRPr="00000000">
              <w:rPr>
                <w:i w:val="1"/>
                <w:sz w:val="16"/>
                <w:szCs w:val="16"/>
                <w:rtl w:val="0"/>
              </w:rPr>
              <w:t xml:space="preserve">gap</w:t>
            </w:r>
            <w:r w:rsidDel="00000000" w:rsidR="00000000" w:rsidRPr="00000000">
              <w:rPr>
                <w:sz w:val="16"/>
                <w:szCs w:val="16"/>
                <w:rtl w:val="0"/>
              </w:rPr>
              <w:t xml:space="preserve"> between tier </w:t>
            </w:r>
            <w:r w:rsidDel="00000000" w:rsidR="00000000" w:rsidRPr="00000000">
              <w:rPr>
                <w:i w:val="1"/>
                <w:sz w:val="16"/>
                <w:szCs w:val="16"/>
                <w:rtl w:val="0"/>
              </w:rPr>
              <w:t xml:space="preserve">k</w:t>
            </w:r>
            <w:r w:rsidDel="00000000" w:rsidR="00000000" w:rsidRPr="00000000">
              <w:rPr>
                <w:sz w:val="16"/>
                <w:szCs w:val="16"/>
                <w:rtl w:val="0"/>
              </w:rPr>
              <w:t xml:space="preserve"> and undergraduates—negative values indicate “compression.”</w:t>
            </w:r>
          </w:p>
        </w:tc>
      </w:tr>
      <w:tr>
        <w:trPr>
          <w:cantSplit w:val="0"/>
          <w:trHeight w:val="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keepLines w:val="1"/>
              <w:spacing w:after="0" w:before="0" w:line="240" w:lineRule="auto"/>
              <w:rPr>
                <w:sz w:val="16"/>
                <w:szCs w:val="16"/>
              </w:rPr>
            </w:pPr>
            <w:hyperlink r:id="rId26">
              <w:r w:rsidDel="00000000" w:rsidR="00000000" w:rsidRPr="00000000">
                <w:rPr>
                  <w:sz w:val="16"/>
                  <w:szCs w:val="16"/>
                </w:rPr>
                <w:drawing>
                  <wp:inline distB="19050" distT="19050" distL="19050" distR="19050">
                    <wp:extent cx="152400" cy="1270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keepLines w:val="1"/>
              <w:spacing w:after="0" w:before="0" w:line="240" w:lineRule="auto"/>
              <w:rPr>
                <w:sz w:val="16"/>
                <w:szCs w:val="16"/>
              </w:rPr>
            </w:pPr>
            <w:commentRangeStart w:id="31"/>
            <w:r w:rsidDel="00000000" w:rsidR="00000000" w:rsidRPr="00000000">
              <w:rPr>
                <w:sz w:val="16"/>
                <w:szCs w:val="16"/>
                <w:rtl w:val="0"/>
              </w:rPr>
              <w:t xml:space="preserve">Control vector (preferred software, years of coding experience, prior ChatGPT familiarity)</w:t>
            </w:r>
            <w:commentRangeEnd w:id="31"/>
            <w:r w:rsidDel="00000000" w:rsidR="00000000" w:rsidRPr="00000000">
              <w:commentReference w:id="31"/>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Lines w:val="1"/>
              <w:spacing w:after="0" w:before="0" w:line="240" w:lineRule="auto"/>
              <w:rPr>
                <w:sz w:val="16"/>
                <w:szCs w:val="16"/>
              </w:rPr>
            </w:pPr>
            <w:hyperlink r:id="rId28">
              <w:r w:rsidDel="00000000" w:rsidR="00000000" w:rsidRPr="00000000">
                <w:rPr>
                  <w:sz w:val="16"/>
                  <w:szCs w:val="16"/>
                </w:rPr>
                <w:drawing>
                  <wp:inline distB="19050" distT="19050" distL="19050" distR="19050">
                    <wp:extent cx="38100" cy="76200"/>
                    <wp:effectExtent b="0" l="0" r="0" t="0"/>
                    <wp:docPr id="13"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8100" cy="76200"/>
                            </a:xfrm>
                            <a:prstGeom prst="rect"/>
                            <a:ln/>
                          </pic:spPr>
                        </pic:pic>
                      </a:graphicData>
                    </a:graphic>
                  </wp:inline>
                </w:drawing>
              </w:r>
            </w:hyperlink>
            <w:r w:rsidDel="00000000" w:rsidR="00000000" w:rsidRPr="00000000">
              <w:rPr>
                <w:sz w:val="16"/>
                <w:szCs w:val="16"/>
                <w:rtl w:val="0"/>
              </w:rPr>
              <w:t xml:space="preserve"> absorbs any confounding variation unrelated to the experiment.</w:t>
            </w:r>
          </w:p>
        </w:tc>
      </w:tr>
      <w:tr>
        <w:trPr>
          <w:cantSplit w:val="0"/>
          <w:trHeight w:val="9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Lines w:val="1"/>
              <w:spacing w:after="0" w:before="0" w:line="240" w:lineRule="auto"/>
              <w:rPr>
                <w:sz w:val="16"/>
                <w:szCs w:val="16"/>
              </w:rPr>
            </w:pPr>
            <w:hyperlink r:id="rId30">
              <w:r w:rsidDel="00000000" w:rsidR="00000000" w:rsidRPr="00000000">
                <w:rPr>
                  <w:sz w:val="16"/>
                  <w:szCs w:val="16"/>
                </w:rPr>
                <w:drawing>
                  <wp:inline distB="19050" distT="19050" distL="19050" distR="19050">
                    <wp:extent cx="152400" cy="88900"/>
                    <wp:effectExtent b="0" l="0" r="0" t="0"/>
                    <wp:docPr id="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152400" cy="88900"/>
                            </a:xfrm>
                            <a:prstGeom prst="rect"/>
                            <a:ln/>
                          </pic:spPr>
                        </pic:pic>
                      </a:graphicData>
                    </a:graphic>
                  </wp:inline>
                </w:drawing>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Lines w:val="1"/>
              <w:spacing w:after="0" w:before="0" w:line="240" w:lineRule="auto"/>
              <w:rPr>
                <w:sz w:val="16"/>
                <w:szCs w:val="16"/>
              </w:rPr>
            </w:pPr>
            <w:r w:rsidDel="00000000" w:rsidR="00000000" w:rsidRPr="00000000">
              <w:rPr>
                <w:sz w:val="16"/>
                <w:szCs w:val="16"/>
                <w:rtl w:val="0"/>
              </w:rPr>
              <w:t xml:space="preserve">Error term</w:t>
            </w:r>
          </w:p>
        </w:tc>
        <w:tc>
          <w:tcPr>
            <w:tcMar>
              <w:top w:w="100.0" w:type="dxa"/>
              <w:left w:w="100.0" w:type="dxa"/>
              <w:bottom w:w="100.0" w:type="dxa"/>
              <w:right w:w="100.0" w:type="dxa"/>
            </w:tcMar>
            <w:vAlign w:val="top"/>
          </w:tcPr>
          <w:p w:rsidR="00000000" w:rsidDel="00000000" w:rsidP="00000000" w:rsidRDefault="00000000" w:rsidRPr="00000000" w14:paraId="00000090">
            <w:pPr>
              <w:keepLines w:val="1"/>
              <w:spacing w:after="0" w:before="0" w:line="240" w:lineRule="auto"/>
              <w:rPr>
                <w:sz w:val="16"/>
                <w:szCs w:val="16"/>
              </w:rPr>
            </w:pPr>
            <w:r w:rsidDel="00000000" w:rsidR="00000000" w:rsidRPr="00000000">
              <w:rPr>
                <w:sz w:val="16"/>
                <w:szCs w:val="16"/>
                <w:rtl w:val="0"/>
              </w:rPr>
              <w:t xml:space="preserve">Assumed mean 0; we cluster its variance by </w:t>
            </w:r>
            <w:r w:rsidDel="00000000" w:rsidR="00000000" w:rsidRPr="00000000">
              <w:rPr>
                <w:b w:val="1"/>
                <w:sz w:val="16"/>
                <w:szCs w:val="16"/>
                <w:rtl w:val="0"/>
              </w:rPr>
              <w:t xml:space="preserve">event × software</w:t>
            </w:r>
            <w:r w:rsidDel="00000000" w:rsidR="00000000" w:rsidRPr="00000000">
              <w:rPr>
                <w:sz w:val="16"/>
                <w:szCs w:val="16"/>
                <w:rtl w:val="0"/>
              </w:rPr>
              <w:t xml:space="preserve"> to accommodate intra-cluster correlation.</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pStyle w:val="Heading3"/>
        <w:spacing w:after="240" w:before="240" w:lineRule="auto"/>
        <w:rPr/>
      </w:pPr>
      <w:bookmarkStart w:colFirst="0" w:colLast="0" w:name="_4ker0g6gztt7" w:id="0"/>
      <w:bookmarkEnd w:id="0"/>
      <w:r w:rsidDel="00000000" w:rsidR="00000000" w:rsidRPr="00000000">
        <w:rPr>
          <w:rtl w:val="0"/>
        </w:rPr>
        <w:t xml:space="preserve">Estimation method.</w:t>
      </w:r>
    </w:p>
    <w:p w:rsidR="00000000" w:rsidDel="00000000" w:rsidP="00000000" w:rsidRDefault="00000000" w:rsidRPr="00000000" w14:paraId="00000093">
      <w:pPr>
        <w:numPr>
          <w:ilvl w:val="0"/>
          <w:numId w:val="1"/>
        </w:numPr>
        <w:spacing w:after="0" w:afterAutospacing="0" w:before="240" w:lineRule="auto"/>
        <w:ind w:left="720" w:hanging="360"/>
      </w:pPr>
      <w:r w:rsidDel="00000000" w:rsidR="00000000" w:rsidRPr="00000000">
        <w:rPr>
          <w:rtl w:val="0"/>
        </w:rPr>
        <w:t xml:space="preserve">For binary and continuous-time outcomes, we use ordinary least squares (OLS).</w:t>
      </w:r>
    </w:p>
    <w:p w:rsidR="00000000" w:rsidDel="00000000" w:rsidP="00000000" w:rsidRDefault="00000000" w:rsidRPr="00000000" w14:paraId="00000094">
      <w:pPr>
        <w:numPr>
          <w:ilvl w:val="0"/>
          <w:numId w:val="1"/>
        </w:numPr>
        <w:spacing w:after="240" w:before="0" w:beforeAutospacing="0" w:lineRule="auto"/>
        <w:ind w:left="720" w:hanging="360"/>
      </w:pPr>
      <w:r w:rsidDel="00000000" w:rsidR="00000000" w:rsidRPr="00000000">
        <w:rPr>
          <w:rtl w:val="0"/>
        </w:rPr>
        <w:t xml:space="preserve">For count outcomes (e.g., number of errors) we use Poisson regression with the same right-hand-side.</w:t>
        <w:br w:type="textWrapping"/>
        <w:t xml:space="preserve">Standard errors are </w:t>
      </w:r>
      <w:commentRangeStart w:id="32"/>
      <w:r w:rsidDel="00000000" w:rsidR="00000000" w:rsidRPr="00000000">
        <w:rPr>
          <w:rtl w:val="0"/>
        </w:rPr>
        <w:t xml:space="preserve">Huber–White</w:t>
      </w:r>
      <w:commentRangeEnd w:id="32"/>
      <w:r w:rsidDel="00000000" w:rsidR="00000000" w:rsidRPr="00000000">
        <w:commentReference w:id="32"/>
      </w:r>
      <w:r w:rsidDel="00000000" w:rsidR="00000000" w:rsidRPr="00000000">
        <w:rPr>
          <w:rtl w:val="0"/>
        </w:rPr>
        <w:t xml:space="preserve"> and </w:t>
      </w:r>
      <w:r w:rsidDel="00000000" w:rsidR="00000000" w:rsidRPr="00000000">
        <w:rPr>
          <w:rtl w:val="0"/>
        </w:rPr>
        <w:t xml:space="preserve">clustered at the event–software level, </w:t>
      </w:r>
      <w:r w:rsidDel="00000000" w:rsidR="00000000" w:rsidRPr="00000000">
        <w:rPr>
          <w:rtl w:val="0"/>
        </w:rPr>
        <w:t xml:space="preserve">reflecting that participants working in the same software environment during the same event share local shocks.</w:t>
      </w:r>
    </w:p>
    <w:p w:rsidR="00000000" w:rsidDel="00000000" w:rsidP="00000000" w:rsidRDefault="00000000" w:rsidRPr="00000000" w14:paraId="00000095">
      <w:pPr>
        <w:pStyle w:val="Heading3"/>
        <w:spacing w:after="240" w:before="240" w:lineRule="auto"/>
        <w:rPr/>
      </w:pPr>
      <w:bookmarkStart w:colFirst="0" w:colLast="0" w:name="_i0m2blp49rtd" w:id="1"/>
      <w:bookmarkEnd w:id="1"/>
      <w:r w:rsidDel="00000000" w:rsidR="00000000" w:rsidRPr="00000000">
        <w:rPr>
          <w:rtl w:val="0"/>
        </w:rPr>
        <w:t xml:space="preserve">Secondary analyses.</w:t>
      </w:r>
    </w:p>
    <w:p w:rsidR="00000000" w:rsidDel="00000000" w:rsidP="00000000" w:rsidRDefault="00000000" w:rsidRPr="00000000" w14:paraId="00000096">
      <w:pPr>
        <w:numPr>
          <w:ilvl w:val="0"/>
          <w:numId w:val="2"/>
        </w:numPr>
        <w:spacing w:after="0" w:afterAutospacing="0" w:before="240" w:lineRule="auto"/>
        <w:ind w:left="720" w:hanging="360"/>
      </w:pPr>
      <w:r w:rsidDel="00000000" w:rsidR="00000000" w:rsidRPr="00000000">
        <w:rPr>
          <w:rtl w:val="0"/>
        </w:rPr>
        <w:t xml:space="preserve">Replace the five tier dummies with a continuous measure—self-reported</w:t>
      </w:r>
      <w:r w:rsidDel="00000000" w:rsidR="00000000" w:rsidRPr="00000000">
        <w:rPr>
          <w:rtl w:val="0"/>
        </w:rPr>
        <w:t xml:space="preserve"> years of coding—to estimate a dose–response curve.</w:t>
      </w:r>
    </w:p>
    <w:p w:rsidR="00000000" w:rsidDel="00000000" w:rsidP="00000000" w:rsidRDefault="00000000" w:rsidRPr="00000000" w14:paraId="00000097">
      <w:pPr>
        <w:numPr>
          <w:ilvl w:val="0"/>
          <w:numId w:val="2"/>
        </w:numPr>
        <w:spacing w:after="0" w:afterAutospacing="0" w:before="0" w:beforeAutospacing="0" w:lineRule="auto"/>
        <w:ind w:left="720" w:hanging="360"/>
        <w:rPr/>
      </w:pPr>
      <w:commentRangeStart w:id="33"/>
      <w:r w:rsidDel="00000000" w:rsidR="00000000" w:rsidRPr="00000000">
        <w:rPr>
          <w:rtl w:val="0"/>
        </w:rPr>
        <w:t xml:space="preserve">Within the AI arm, regress outcomes on </w:t>
      </w:r>
      <w:hyperlink r:id="rId32">
        <w:r w:rsidDel="00000000" w:rsidR="00000000" w:rsidRPr="00000000">
          <w:rPr/>
          <w:drawing>
            <wp:inline distB="19050" distT="19050" distL="19050" distR="19050">
              <wp:extent cx="2565400" cy="152400"/>
              <wp:effectExtent b="0" l="0" r="0" t="0"/>
              <wp:docPr id="9"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2565400" cy="152400"/>
                      </a:xfrm>
                      <a:prstGeom prst="rect"/>
                      <a:ln/>
                    </pic:spPr>
                  </pic:pic>
                </a:graphicData>
              </a:graphic>
            </wp:inline>
          </w:drawing>
        </w:r>
      </w:hyperlink>
      <w:r w:rsidDel="00000000" w:rsidR="00000000" w:rsidRPr="00000000">
        <w:rPr>
          <w:rtl w:val="0"/>
        </w:rPr>
        <w:t xml:space="preserve"> to study over- or under-use.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98">
      <w:pPr>
        <w:numPr>
          <w:ilvl w:val="0"/>
          <w:numId w:val="2"/>
        </w:numPr>
        <w:spacing w:after="0" w:afterAutospacing="0" w:before="0" w:beforeAutospacing="0" w:lineRule="auto"/>
        <w:ind w:left="720" w:hanging="360"/>
        <w:rPr/>
      </w:pPr>
      <w:commentRangeStart w:id="34"/>
      <w:r w:rsidDel="00000000" w:rsidR="00000000" w:rsidRPr="00000000">
        <w:rPr>
          <w:rtl w:val="0"/>
        </w:rPr>
        <w:t xml:space="preserve">Add an interaction between treatment and event order to see whether learning accumulates across events.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99">
      <w:pPr>
        <w:numPr>
          <w:ilvl w:val="0"/>
          <w:numId w:val="2"/>
        </w:numPr>
        <w:spacing w:after="240" w:before="0" w:beforeAutospacing="0" w:lineRule="auto"/>
        <w:ind w:left="720" w:hanging="360"/>
        <w:rPr/>
      </w:pPr>
      <w:r w:rsidDel="00000000" w:rsidR="00000000" w:rsidRPr="00000000">
        <w:rPr>
          <w:rtl w:val="0"/>
        </w:rPr>
        <w:t xml:space="preserve">For time-to-event outcomes, we complement OLS with Kaplan–Meier survival curves and log-rank tests (reported in the appendix).</w:t>
      </w:r>
    </w:p>
    <w:p w:rsidR="00000000" w:rsidDel="00000000" w:rsidP="00000000" w:rsidRDefault="00000000" w:rsidRPr="00000000" w14:paraId="0000009A">
      <w:pPr>
        <w:spacing w:after="240" w:before="240" w:lineRule="auto"/>
        <w:rPr/>
      </w:pPr>
      <w:r w:rsidDel="00000000" w:rsidR="00000000" w:rsidRPr="00000000">
        <w:rPr>
          <w:rtl w:val="0"/>
        </w:rPr>
        <w:t xml:space="preserve">Together, these specifications isolate the causal impact of AI access, reveal whether it narrows vertical expertise gaps, and check how robust the findings are to alternative functional forms and behavioral metrics.</w:t>
      </w:r>
    </w:p>
    <w:p w:rsidR="00000000" w:rsidDel="00000000" w:rsidP="00000000" w:rsidRDefault="00000000" w:rsidRPr="00000000" w14:paraId="0000009B">
      <w:pPr>
        <w:pStyle w:val="Heading2"/>
        <w:rPr/>
      </w:pPr>
      <w:r w:rsidDel="00000000" w:rsidR="00000000" w:rsidRPr="00000000">
        <w:rPr>
          <w:rtl w:val="0"/>
        </w:rPr>
        <w:t xml:space="preserve">9. Compliance, Deviations, &amp; Monitoring</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Compare assignment with ChatGPT logs and observer notes.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protocol change preregistered on OSF and GitHub before data access.</w:t>
      </w:r>
    </w:p>
    <w:p w:rsidR="00000000" w:rsidDel="00000000" w:rsidP="00000000" w:rsidRDefault="00000000" w:rsidRPr="00000000" w14:paraId="0000009E">
      <w:pPr>
        <w:pStyle w:val="Heading2"/>
        <w:rPr/>
      </w:pPr>
      <w:r w:rsidDel="00000000" w:rsidR="00000000" w:rsidRPr="00000000">
        <w:rPr>
          <w:rtl w:val="0"/>
        </w:rPr>
        <w:t xml:space="preserve">10. Data Management &amp; Sharing</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Raw logs, transcripts, cleaned data on OSF and GitHub (view‑only until publication).</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Replication packages under journal </w:t>
      </w:r>
      <w:r w:rsidDel="00000000" w:rsidR="00000000" w:rsidRPr="00000000">
        <w:rPr>
          <w:rtl w:val="0"/>
        </w:rPr>
        <w:t xml:space="preserve">licenses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provide download links.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De‑identified grading sheets included.</w:t>
      </w:r>
    </w:p>
    <w:p w:rsidR="00000000" w:rsidDel="00000000" w:rsidP="00000000" w:rsidRDefault="00000000" w:rsidRPr="00000000" w14:paraId="000000A2">
      <w:pPr>
        <w:pStyle w:val="Heading2"/>
        <w:rPr/>
      </w:pPr>
      <w:r w:rsidDel="00000000" w:rsidR="00000000" w:rsidRPr="00000000">
        <w:rPr>
          <w:rtl w:val="0"/>
        </w:rPr>
        <w:t xml:space="preserve">11. Timeline</w:t>
      </w:r>
    </w:p>
    <w:tbl>
      <w:tblPr>
        <w:tblStyle w:val="Table6"/>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A3">
            <w:pPr>
              <w:rPr>
                <w:b w:val="1"/>
              </w:rPr>
            </w:pPr>
            <w:r w:rsidDel="00000000" w:rsidR="00000000" w:rsidRPr="00000000">
              <w:rPr>
                <w:b w:val="1"/>
                <w:rtl w:val="0"/>
              </w:rPr>
              <w:t xml:space="preserve">Milestone</w:t>
            </w:r>
          </w:p>
        </w:tc>
        <w:tc>
          <w:tcPr/>
          <w:p w:rsidR="00000000" w:rsidDel="00000000" w:rsidP="00000000" w:rsidRDefault="00000000" w:rsidRPr="00000000" w14:paraId="000000A4">
            <w:pPr>
              <w:rPr>
                <w:b w:val="1"/>
              </w:rPr>
            </w:pPr>
            <w:r w:rsidDel="00000000" w:rsidR="00000000" w:rsidRPr="00000000">
              <w:rPr>
                <w:b w:val="1"/>
                <w:rtl w:val="0"/>
              </w:rPr>
              <w:t xml:space="preserve">Target date</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Pilot sims &amp; final SAP</w:t>
            </w:r>
          </w:p>
        </w:tc>
        <w:tc>
          <w:tcPr/>
          <w:p w:rsidR="00000000" w:rsidDel="00000000" w:rsidP="00000000" w:rsidRDefault="00000000" w:rsidRPr="00000000" w14:paraId="000000A6">
            <w:pPr>
              <w:rPr/>
            </w:pPr>
            <w:r w:rsidDel="00000000" w:rsidR="00000000" w:rsidRPr="00000000">
              <w:rPr>
                <w:rtl w:val="0"/>
              </w:rPr>
              <w:t xml:space="preserve">31 Aug 2025</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OSF and GitHub preregistration</w:t>
            </w:r>
          </w:p>
        </w:tc>
        <w:tc>
          <w:tcPr/>
          <w:p w:rsidR="00000000" w:rsidDel="00000000" w:rsidP="00000000" w:rsidRDefault="00000000" w:rsidRPr="00000000" w14:paraId="000000A8">
            <w:pPr>
              <w:rPr/>
            </w:pPr>
            <w:r w:rsidDel="00000000" w:rsidR="00000000" w:rsidRPr="00000000">
              <w:rPr>
                <w:rtl w:val="0"/>
              </w:rPr>
              <w:t xml:space="preserve">15 Sep 2025</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Event 1</w:t>
            </w:r>
          </w:p>
        </w:tc>
        <w:tc>
          <w:tcPr/>
          <w:p w:rsidR="00000000" w:rsidDel="00000000" w:rsidP="00000000" w:rsidRDefault="00000000" w:rsidRPr="00000000" w14:paraId="000000AA">
            <w:pPr>
              <w:rPr/>
            </w:pPr>
            <w:r w:rsidDel="00000000" w:rsidR="00000000" w:rsidRPr="00000000">
              <w:rPr>
                <w:rtl w:val="0"/>
              </w:rPr>
              <w:t xml:space="preserve">07 Oct 2025</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Event 2</w:t>
            </w:r>
          </w:p>
        </w:tc>
        <w:tc>
          <w:tcPr/>
          <w:p w:rsidR="00000000" w:rsidDel="00000000" w:rsidP="00000000" w:rsidRDefault="00000000" w:rsidRPr="00000000" w14:paraId="000000AC">
            <w:pPr>
              <w:rPr/>
            </w:pPr>
            <w:r w:rsidDel="00000000" w:rsidR="00000000" w:rsidRPr="00000000">
              <w:rPr>
                <w:rtl w:val="0"/>
              </w:rPr>
              <w:t xml:space="preserve">21 Oct 2025</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Event 3</w:t>
            </w:r>
          </w:p>
        </w:tc>
        <w:tc>
          <w:tcPr/>
          <w:p w:rsidR="00000000" w:rsidDel="00000000" w:rsidP="00000000" w:rsidRDefault="00000000" w:rsidRPr="00000000" w14:paraId="000000AE">
            <w:pPr>
              <w:rPr/>
            </w:pPr>
            <w:r w:rsidDel="00000000" w:rsidR="00000000" w:rsidRPr="00000000">
              <w:rPr>
                <w:rtl w:val="0"/>
              </w:rPr>
              <w:t xml:space="preserve">04 Nov 2025</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Event 4</w:t>
            </w:r>
          </w:p>
        </w:tc>
        <w:tc>
          <w:tcPr/>
          <w:p w:rsidR="00000000" w:rsidDel="00000000" w:rsidP="00000000" w:rsidRDefault="00000000" w:rsidRPr="00000000" w14:paraId="000000B0">
            <w:pPr>
              <w:rPr/>
            </w:pPr>
            <w:r w:rsidDel="00000000" w:rsidR="00000000" w:rsidRPr="00000000">
              <w:rPr>
                <w:rtl w:val="0"/>
              </w:rPr>
              <w:t xml:space="preserve">18 Nov 2025</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Cleaning &amp; grading</w:t>
            </w:r>
          </w:p>
        </w:tc>
        <w:tc>
          <w:tcPr/>
          <w:p w:rsidR="00000000" w:rsidDel="00000000" w:rsidP="00000000" w:rsidRDefault="00000000" w:rsidRPr="00000000" w14:paraId="000000B2">
            <w:pPr>
              <w:rPr/>
            </w:pPr>
            <w:r w:rsidDel="00000000" w:rsidR="00000000" w:rsidRPr="00000000">
              <w:rPr>
                <w:rtl w:val="0"/>
              </w:rPr>
              <w:t xml:space="preserve">Dec 2025</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Unblinding &amp; analysis</w:t>
            </w:r>
          </w:p>
        </w:tc>
        <w:tc>
          <w:tcPr/>
          <w:p w:rsidR="00000000" w:rsidDel="00000000" w:rsidP="00000000" w:rsidRDefault="00000000" w:rsidRPr="00000000" w14:paraId="000000B4">
            <w:pPr>
              <w:rPr/>
            </w:pPr>
            <w:r w:rsidDel="00000000" w:rsidR="00000000" w:rsidRPr="00000000">
              <w:rPr>
                <w:rtl w:val="0"/>
              </w:rPr>
              <w:t xml:space="preserve">Jan 2026</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Draft manuscript</w:t>
            </w:r>
          </w:p>
        </w:tc>
        <w:tc>
          <w:tcPr/>
          <w:p w:rsidR="00000000" w:rsidDel="00000000" w:rsidP="00000000" w:rsidRDefault="00000000" w:rsidRPr="00000000" w14:paraId="000000B6">
            <w:pPr>
              <w:rPr/>
            </w:pPr>
            <w:r w:rsidDel="00000000" w:rsidR="00000000" w:rsidRPr="00000000">
              <w:rPr>
                <w:rtl w:val="0"/>
              </w:rPr>
              <w:t xml:space="preserve">Mar 2026</w:t>
            </w:r>
          </w:p>
        </w:tc>
      </w:tr>
    </w:tbl>
    <w:p w:rsidR="00000000" w:rsidDel="00000000" w:rsidP="00000000" w:rsidRDefault="00000000" w:rsidRPr="00000000" w14:paraId="000000B7">
      <w:pPr>
        <w:pStyle w:val="Heading2"/>
        <w:rPr/>
      </w:pPr>
      <w:r w:rsidDel="00000000" w:rsidR="00000000" w:rsidRPr="00000000">
        <w:rPr>
          <w:rtl w:val="0"/>
        </w:rPr>
        <w:t xml:space="preserve">12. Limitations &amp; Risk Mitigation</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Self‑report bias mitigated by continuous experience measure.</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Control contamination checked via pledge plus </w:t>
      </w:r>
      <w:commentRangeStart w:id="35"/>
      <w:commentRangeStart w:id="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random screen‑shares</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LLM drift documented by logging GPT model names/dates.</w:t>
      </w:r>
    </w:p>
    <w:p w:rsidR="00000000" w:rsidDel="00000000" w:rsidP="00000000" w:rsidRDefault="00000000" w:rsidRPr="00000000" w14:paraId="000000BB">
      <w:pPr>
        <w:pStyle w:val="Heading2"/>
        <w:rPr/>
      </w:pPr>
      <w:r w:rsidDel="00000000" w:rsidR="00000000" w:rsidRPr="00000000">
        <w:rPr>
          <w:rtl w:val="0"/>
        </w:rPr>
        <w:t xml:space="preserve">13. References</w:t>
      </w:r>
    </w:p>
    <w:p w:rsidR="00000000" w:rsidDel="00000000" w:rsidP="00000000" w:rsidRDefault="00000000" w:rsidRPr="00000000" w14:paraId="000000BC">
      <w:pPr>
        <w:rPr/>
      </w:pPr>
      <w:r w:rsidDel="00000000" w:rsidR="00000000" w:rsidRPr="00000000">
        <w:rPr>
          <w:rtl w:val="0"/>
        </w:rPr>
        <w:t xml:space="preserve">1. AI‑Replication Games (2025), Nature.</w:t>
      </w:r>
    </w:p>
    <w:p w:rsidR="00000000" w:rsidDel="00000000" w:rsidP="00000000" w:rsidRDefault="00000000" w:rsidRPr="00000000" w14:paraId="000000BD">
      <w:pPr>
        <w:rPr/>
      </w:pPr>
      <w:r w:rsidDel="00000000" w:rsidR="00000000" w:rsidRPr="00000000">
        <w:rPr>
          <w:rtl w:val="0"/>
        </w:rPr>
        <w:t xml:space="preserve">2. 2024 Pre‑Analysis Plan (OSF).</w:t>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rek Mikola" w:id="18" w:date="2025-07-29T13:25:2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over-sample undergraduates and pay them, not offering coauthorship? Can we make the task a half day?</w:t>
      </w:r>
    </w:p>
  </w:comment>
  <w:comment w:author="Derek Mikola" w:id="27" w:date="2025-07-29T13:36:46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benefit if we had a systematic way to incorporate prompts, as well as analyze them.</w:t>
      </w:r>
    </w:p>
  </w:comment>
  <w:comment w:author="Derek Mikola" w:id="31" w:date="2025-07-29T19:24:20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control for ability as reproducers: have you participated in AI games? Have you participated in regular games?</w:t>
      </w:r>
    </w:p>
  </w:comment>
  <w:comment w:author="Derek Mikola" w:id="8" w:date="2025-07-29T13:51:44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worth understanding what, precisely, the main exhibit for this article is.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envisioning is a graph which plots the treatment effects relative to undergrad (like coefplot) for each of the subgroups. Perhaps that is incorrect?</w:t>
      </w:r>
    </w:p>
  </w:comment>
  <w:comment w:author="Derek Mikola" w:id="34" w:date="2025-07-29T13:49:3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have the observations to meaningfully estimate these parameters.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add: "and perform joint hypothesis testing that all the coefficients are equal to one another"</w:t>
      </w:r>
    </w:p>
  </w:comment>
  <w:comment w:author="Abel Brodeur" w:id="10" w:date="2025-06-17T16:53:39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less profs than students. I can get 5-10 profs for uOttawa but probably way more students.</w:t>
      </w:r>
    </w:p>
  </w:comment>
  <w:comment w:author="Juan Pablo Posada Aparicio" w:id="11" w:date="2025-06-17T20:53:3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profs max you think?</w:t>
      </w:r>
    </w:p>
  </w:comment>
  <w:comment w:author="Derek Mikola" w:id="32" w:date="2025-07-29T13:41:5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this is correct. You probably want to estimate standard errors using a Cluster Robust Variance Estimator (CRVE) where the unit you are clustering on is the event-software.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clear what "software" is.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interact with the treatment?</w:t>
      </w:r>
    </w:p>
  </w:comment>
  <w:comment w:author="Lenka Fiala" w:id="35" w:date="2025-06-17T21:10:12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probably described in greater detail - if only because participants will have to agree to it!</w:t>
      </w:r>
    </w:p>
  </w:comment>
  <w:comment w:author="David Valenta" w:id="36" w:date="2025-06-19T16:10:0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be one of those employee tracking software that takes random screenshots? I assume this would require installation on participant's computer and I would probably be uncomfortable with that as a participant.</w:t>
      </w:r>
    </w:p>
  </w:comment>
  <w:comment w:author="Derek Mikola" w:id="22" w:date="2025-07-29T19:34:4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do it from 9-13:00 and 13:00 to 17:00.</w:t>
      </w:r>
    </w:p>
  </w:comment>
  <w:comment w:author="Derek Mikola" w:id="23" w:date="2025-07-29T19:34:4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we deal with censoring?</w:t>
      </w:r>
    </w:p>
  </w:comment>
  <w:comment w:author="Derek Mikola" w:id="24" w:date="2025-07-29T19:35:21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How much more time would you need to complete this?</w:t>
      </w:r>
    </w:p>
  </w:comment>
  <w:comment w:author="Derek Mikola" w:id="25" w:date="2025-07-29T19:36:13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hold people in the lecture hall until they have completed the survey.</w:t>
      </w:r>
    </w:p>
  </w:comment>
  <w:comment w:author="Abel Brodeur" w:id="12" w:date="2025-06-17T16:54:2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we get that many postdoc fellows. Actually, unclear what to do with this group. Maybe merging with faculty.</w:t>
      </w:r>
    </w:p>
  </w:comment>
  <w:comment w:author="Abel Brodeur" w:id="13" w:date="2025-06-17T16:54:40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researchers with PhD not at a uni?</w:t>
      </w:r>
    </w:p>
  </w:comment>
  <w:comment w:author="Juan Pablo Posada Aparicio" w:id="14" w:date="2025-06-17T20:53:0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postdocs + researchers in the same tier?</w:t>
      </w:r>
    </w:p>
  </w:comment>
  <w:comment w:author="Derek Mikola" w:id="0" w:date="2025-07-29T13:12:1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Alphabetical is fine; would you ever consider importance (Juan, Abel) then alphabetical?</w:t>
      </w:r>
    </w:p>
  </w:comment>
  <w:comment w:author="David Valenta" w:id="28" w:date="2025-06-19T16:13:55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of? the referee report?</w:t>
      </w:r>
    </w:p>
  </w:comment>
  <w:comment w:author="David Valenta" w:id="15" w:date="2025-06-19T15:58:38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expect the students to have some knowledge of Stata / R (depending on the paper) as we did in the first games, or do we take anyone from a relevant field?</w:t>
      </w:r>
    </w:p>
  </w:comment>
  <w:comment w:author="David Valenta" w:id="16" w:date="2025-06-19T15:58:38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expect the students to have some knowledge of Stata / R (depending on the paper) as we did in the first games, or do we take anyone from a relevant field?</w:t>
      </w:r>
    </w:p>
  </w:comment>
  <w:comment w:author="Derek Mikola" w:id="1" w:date="2025-07-29T13:13:37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"researchers with a Ph.D." which is a useful distinction and easily bins people who participate but may otherwise not be a postdoc or affiliated with an institution.</w:t>
      </w:r>
    </w:p>
  </w:comment>
  <w:comment w:author="David Valenta" w:id="29" w:date="2025-06-19T15:59:55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familiarity is the best defined one.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usage of AI for data analysis/other work tasks.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even add some measures similar to those used in the follow-up survey on AI replication games, like: # of conversations in their preferred AI chatbot in the past week</w:t>
      </w:r>
    </w:p>
  </w:comment>
  <w:comment w:author="Ghina Abdul Baki" w:id="30" w:date="2025-06-22T20:02:36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control for both: general AI usage and AI usage specifically for data analysis or research tasks. It’s possible that general exposure to AI helps users develop better prompting skills, which applies to the context of data analysis.</w:t>
      </w:r>
    </w:p>
  </w:comment>
  <w:comment w:author="David Valenta" w:id="4" w:date="2025-06-19T15:55:33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interested to add: (iv) previous experience with ai (v) whether one commonly uses AI for data analysis and research. Maybe human-only participants that normally use a lot of AI get worse?</w:t>
      </w:r>
    </w:p>
  </w:comment>
  <w:comment w:author="Derek Mikola" w:id="5" w:date="2025-07-29T13:17:15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point, we should ask participants a handful of questions: "How many years have you used ChatGPT?", "How many hours a week do you use ChatGPT?",</w:t>
      </w:r>
    </w:p>
  </w:comment>
  <w:comment w:author="Abel Brodeur" w:id="19" w:date="2025-06-17T16:55:39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Profs will get 100% on the task. Unclear for students...</w:t>
      </w:r>
    </w:p>
  </w:comment>
  <w:comment w:author="Juan Pablo Posada Aparicio" w:id="20" w:date="2025-06-17T20:51:56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agree. I thought Profs 100% and undergrads around 85%? Perhaps too generous with undergrads?</w:t>
      </w:r>
    </w:p>
  </w:comment>
  <w:comment w:author="Lenka Fiala" w:id="21" w:date="2025-06-17T21:04:32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this is too generous</w:t>
      </w:r>
    </w:p>
  </w:comment>
  <w:comment w:author="Derek Mikola" w:id="17" w:date="2025-07-29T13:46:07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a specific randomization laid out. I do not think this is enough.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could do is just create a pre-assigned spreadsheet and randomize people into teams.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discuss what we do with teams who: implode, when they are 2 versus when they are 4, etc.</w:t>
      </w:r>
    </w:p>
  </w:comment>
  <w:comment w:author="Derek Mikola" w:id="2" w:date="2025-07-29T13:14:16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made explicit. I understand that we don't want to repeat everything, but let's be clearer what we'd like.</w:t>
      </w:r>
    </w:p>
  </w:comment>
  <w:comment w:author="Lenka Fiala" w:id="3" w:date="2025-06-17T21:00:14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defined somewhere above</w:t>
      </w:r>
    </w:p>
  </w:comment>
  <w:comment w:author="Lenka Fiala" w:id="9" w:date="2025-06-17T21:07:21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 N for P, PD and PhD might be challenging. I am not convinced these are doable if we stick to a single institution</w:t>
      </w:r>
    </w:p>
  </w:comment>
  <w:comment w:author="Derek Mikola" w:id="33" w:date="2025-07-29T13:42:10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worth citing the Roth article.</w:t>
      </w:r>
    </w:p>
  </w:comment>
  <w:comment w:author="Derek Mikola" w:id="7" w:date="2025-07-29T13:35:08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our manipulation checks? How can we be sure?</w:t>
      </w:r>
    </w:p>
  </w:comment>
  <w:comment w:author="Lenka Fiala" w:id="6" w:date="2025-06-17T21:01:38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counts of prompts or words (how specific the prompts are)? both could work</w:t>
      </w:r>
    </w:p>
  </w:comment>
  <w:comment w:author="Derek Mikola" w:id="26" w:date="2025-07-29T13:35:54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want to do anything qualitative?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5Cgamma_%7Bk%7D#0" TargetMode="External"/><Relationship Id="rId22" Type="http://schemas.openxmlformats.org/officeDocument/2006/relationships/hyperlink" Target="https://www.codecogs.com/eqnedit.php?latex=%5Cmathbf%7BAI%7D%7Bi%7D%5C!%5Ctimes%5C!%5Ctext%7BTier%7D%7Bik%7D#0" TargetMode="External"/><Relationship Id="rId21" Type="http://schemas.openxmlformats.org/officeDocument/2006/relationships/image" Target="media/image9.png"/><Relationship Id="rId24" Type="http://schemas.openxmlformats.org/officeDocument/2006/relationships/hyperlink" Target="https://www.codecogs.com/eqnedit.php?latex=%5Cdelta_%7Bk%7D#0"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hyperlink" Target="https://www.codecogs.com/eqnedit.php?latex=%5Cmathbf%7BX%7D_%7Bi%7D#0" TargetMode="External"/><Relationship Id="rId25" Type="http://schemas.openxmlformats.org/officeDocument/2006/relationships/image" Target="media/image3.png"/><Relationship Id="rId28" Type="http://schemas.openxmlformats.org/officeDocument/2006/relationships/hyperlink" Target="https://www.codecogs.com/eqnedit.php?latex=%5Ctheta#0" TargetMode="External"/><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0.png"/><Relationship Id="rId7" Type="http://schemas.openxmlformats.org/officeDocument/2006/relationships/hyperlink" Target="https://www.econstor.eu/bitstream/10419/308508/1/I4R-DP195.pdf" TargetMode="External"/><Relationship Id="rId8" Type="http://schemas.openxmlformats.org/officeDocument/2006/relationships/hyperlink" Target="https://www.codecogs.com/eqnedit.php?latex=Y_%7Bie%7D%20%5C%3B%3D%5C%3B%20%5Calpha%20%5C%3B%2B%5C%3B%20%5Cbeta_%7B1%7D%5C%2C%5Cmathbf%7BAI%7D%7Bi%7D%20%5C%3B%2B%5C%3B%20%5Csum%7Bk%3D1%7D%5E%7B4%7D%20%5Cgamma_%7Bk%7D%5C%2C%5Ctext%7BTier%7D%7Bik%7D%20%5C%3B%2B%5C%3B%20%5Csum%7Bk%3D1%7D%5E%7B4%7D%20%5Cdelta_%7Bk%7D%5C%2C(%5Cmathbf%7BAI%7D%7Bi%7D%5C!%5Ctimes%5C!%5Ctext%7BTier%7D%7Bik%7D)%20%5C%3B%2B%5C%3B%20%5Cmathbf%7BX%7D%7Bi%7D%5E%7B%5C!%5Ctop%7D%5Ctheta%20%5C%3B%2B%5C%3B%20%5Cvarepsilon%7Bie%7D#0" TargetMode="External"/><Relationship Id="rId31" Type="http://schemas.openxmlformats.org/officeDocument/2006/relationships/image" Target="media/image5.png"/><Relationship Id="rId30" Type="http://schemas.openxmlformats.org/officeDocument/2006/relationships/hyperlink" Target="https://www.codecogs.com/eqnedit.php?latex=%5Cvarepsilon_%7Bie%7D#0" TargetMode="External"/><Relationship Id="rId11" Type="http://schemas.openxmlformats.org/officeDocument/2006/relationships/image" Target="media/image13.png"/><Relationship Id="rId33" Type="http://schemas.openxmlformats.org/officeDocument/2006/relationships/image" Target="media/image8.png"/><Relationship Id="rId10" Type="http://schemas.openxmlformats.org/officeDocument/2006/relationships/hyperlink" Target="https://www.codecogs.com/eqnedit.php?latex=Y_%7Bie%7D#0" TargetMode="External"/><Relationship Id="rId32" Type="http://schemas.openxmlformats.org/officeDocument/2006/relationships/hyperlink" Target="https://www.codecogs.com/eqnedit.php?latex=%5Clog(%5Ctext%7Bnumber%20of%20ChatGPT%20prompts%7D%2B1)#0" TargetMode="External"/><Relationship Id="rId13" Type="http://schemas.openxmlformats.org/officeDocument/2006/relationships/image" Target="media/image1.png"/><Relationship Id="rId12" Type="http://schemas.openxmlformats.org/officeDocument/2006/relationships/hyperlink" Target="https://www.codecogs.com/eqnedit.php?latex=%5Calpha#0" TargetMode="External"/><Relationship Id="rId15" Type="http://schemas.openxmlformats.org/officeDocument/2006/relationships/image" Target="media/image2.png"/><Relationship Id="rId14" Type="http://schemas.openxmlformats.org/officeDocument/2006/relationships/hyperlink" Target="https://www.codecogs.com/eqnedit.php?latex=%5Cmathbf%7BAI%7D_%7Bi%7D#0" TargetMode="External"/><Relationship Id="rId17" Type="http://schemas.openxmlformats.org/officeDocument/2006/relationships/image" Target="media/image6.png"/><Relationship Id="rId16" Type="http://schemas.openxmlformats.org/officeDocument/2006/relationships/hyperlink" Target="https://www.codecogs.com/eqnedit.php?latex=%5Cbeta_%7B1%7D#0" TargetMode="External"/><Relationship Id="rId19" Type="http://schemas.openxmlformats.org/officeDocument/2006/relationships/image" Target="media/image11.png"/><Relationship Id="rId18" Type="http://schemas.openxmlformats.org/officeDocument/2006/relationships/hyperlink" Target="https://www.codecogs.com/eqnedit.php?latex=%5Ctext%7BTier%7D_%7Bik%7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