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F141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260" w:type="dxa"/>
              <w:start w:w="280" w:type="dxa"/>
              <w:bottom w:w="260" w:type="dxa"/>
              <w:end w:w="2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3EFE4"/>
                <w:sz w:val="44"/>
              </w:rPr>
              <w:t>AMATL</w:t>
            </w:r>
            <w:r>
              <w:rPr>
                <w:rFonts w:ascii="Arial" w:hAnsi="Arial" w:eastAsia="Arial"/>
                <w:b w:val="0"/>
                <w:color w:val="C49A4A"/>
                <w:sz w:val="21"/>
              </w:rPr>
              <w:t xml:space="preserve">  |  Búsqueda con trazabilidad e integridad</w:t>
            </w:r>
          </w:p>
          <w:p>
            <w:r>
              <w:rPr>
                <w:rFonts w:ascii="Arial" w:hAnsi="Arial" w:eastAsia="Arial"/>
                <w:b w:val="0"/>
                <w:color w:val="B8B09F"/>
                <w:sz w:val="19"/>
              </w:rPr>
              <w:t>Resumen funcional para documentación pública y revisión no técnica</w:t>
            </w:r>
          </w:p>
        </w:tc>
      </w:tr>
    </w:tbl>
    <w:p>
      <w:pPr>
        <w:spacing w:before="160" w:after="60"/>
      </w:pPr>
      <w:r>
        <w:rPr>
          <w:rFonts w:ascii="Arial" w:hAnsi="Arial" w:eastAsia="Arial"/>
          <w:b w:val="0"/>
          <w:color w:val="242424"/>
          <w:sz w:val="20"/>
        </w:rPr>
        <w:t xml:space="preserve">AMATL es un buscador generalista multi-fuente, Linux-first, rápido, modular y resistente a fallos. Su flujo visible es </w:t>
      </w:r>
      <w:r>
        <w:rPr>
          <w:rFonts w:ascii="Arial" w:hAnsi="Arial" w:eastAsia="Arial"/>
          <w:b/>
          <w:color w:val="0F1412"/>
          <w:sz w:val="20"/>
        </w:rPr>
        <w:t>buscar → revisar → abrir</w:t>
      </w:r>
      <w:r>
        <w:rPr>
          <w:rFonts w:ascii="Arial" w:hAnsi="Arial" w:eastAsia="Arial"/>
          <w:b w:val="0"/>
          <w:color w:val="242424"/>
          <w:sz w:val="20"/>
        </w:rPr>
        <w:t>: recibe una consulta, selecciona fuentes dentro de un presupuesto global, normaliza, canonicaliza, deduplica y ordena resultados. No está planteado como chatbot, crawler masivo, dashboard analítico, agente autónomo ni sistema dependiente de LLM o de un único proveedor.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7F4EC"/>
            <w:tcBorders>
              <w:top w:val="single" w:sz="8" w:color="D8D0C2"/>
              <w:left w:val="single" w:sz="8" w:color="D8D0C2"/>
              <w:bottom w:val="single" w:sz="8" w:color="D8D0C2"/>
              <w:right w:val="single" w:sz="8" w:color="D8D0C2"/>
              <w:insideH w:val="single" w:sz="8" w:color="D8D0C2"/>
              <w:insideV w:val="single" w:sz="8" w:color="D8D0C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5A4930"/>
                <w:sz w:val="20"/>
              </w:rPr>
              <w:t>Núcleo y arquitectura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Un solo core en Rust sirve a CLI, UI, API y MCP. Search permanece ligero; Deep concentra fetch, extracción y evidencia. La ingestión de archivos queda local y separada.</w:t>
            </w:r>
          </w:p>
        </w:tc>
        <w:tc>
          <w:tcPr>
            <w:tcW w:type="dxa" w:w="5328"/>
            <w:shd w:fill="F7F4EC"/>
            <w:tcBorders>
              <w:top w:val="single" w:sz="8" w:color="D8D0C2"/>
              <w:left w:val="single" w:sz="8" w:color="D8D0C2"/>
              <w:bottom w:val="single" w:sz="8" w:color="D8D0C2"/>
              <w:right w:val="single" w:sz="8" w:color="D8D0C2"/>
              <w:insideH w:val="single" w:sz="8" w:color="D8D0C2"/>
              <w:insideV w:val="single" w:sz="8" w:color="D8D0C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5A4930"/>
                <w:sz w:val="20"/>
              </w:rPr>
              <w:t>Privacidad y exposición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La política data_policy gobierna la salida de red. El perfil isolated bloquea providers, Deep fetch, MCP fetch, canarios e inferencia remota antes de conectar.</w:t>
            </w:r>
          </w:p>
        </w:tc>
      </w:tr>
      <w:tr>
        <w:tc>
          <w:tcPr>
            <w:tcW w:type="dxa" w:w="5328"/>
            <w:shd w:fill="F7F4EC"/>
            <w:tcBorders>
              <w:top w:val="single" w:sz="8" w:color="D8D0C2"/>
              <w:left w:val="single" w:sz="8" w:color="D8D0C2"/>
              <w:bottom w:val="single" w:sz="8" w:color="D8D0C2"/>
              <w:right w:val="single" w:sz="8" w:color="D8D0C2"/>
              <w:insideH w:val="single" w:sz="8" w:color="D8D0C2"/>
              <w:insideV w:val="single" w:sz="8" w:color="D8D0C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5A4930"/>
                <w:sz w:val="20"/>
              </w:rPr>
              <w:t>Evidencia e integridad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Deep presenta documentos con fragmentos Evidence v2, linaje de URL, extractor y hashes; el navegador verifica rango UTF-8 y SHA-256 del fragmento.</w:t>
            </w:r>
          </w:p>
        </w:tc>
        <w:tc>
          <w:tcPr>
            <w:tcW w:type="dxa" w:w="5328"/>
            <w:shd w:fill="F7F4EC"/>
            <w:tcBorders>
              <w:top w:val="single" w:sz="8" w:color="D8D0C2"/>
              <w:left w:val="single" w:sz="8" w:color="D8D0C2"/>
              <w:bottom w:val="single" w:sz="8" w:color="D8D0C2"/>
              <w:right w:val="single" w:sz="8" w:color="D8D0C2"/>
              <w:insideH w:val="single" w:sz="8" w:color="D8D0C2"/>
              <w:insideV w:val="single" w:sz="8" w:color="D8D0C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5A4930"/>
                <w:sz w:val="20"/>
              </w:rPr>
              <w:t>IA opcional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333333"/>
                <w:sz w:val="17"/>
              </w:rPr>
              <w:t>Resumen con IA está apagado por defecto. Sólo opera con configuración explícita, credencial propia por variable de entorno y citas por número de fuente existente.</w:t>
            </w:r>
          </w:p>
        </w:tc>
      </w:tr>
    </w:tbl>
    <w:p>
      <w:pPr>
        <w:spacing w:before="120" w:after="20"/>
      </w:pPr>
      <w:r>
        <w:rPr>
          <w:rFonts w:ascii="Arial" w:hAnsi="Arial" w:eastAsia="Arial"/>
          <w:b/>
          <w:color w:val="0F1412"/>
          <w:sz w:val="21"/>
        </w:rPr>
        <w:t>Estado y distribución</w:t>
      </w:r>
    </w:p>
    <w:p>
      <w:pPr>
        <w:spacing w:after="20"/>
      </w:pPr>
      <w:r>
        <w:rPr>
          <w:rFonts w:ascii="Arial" w:hAnsi="Arial" w:eastAsia="Arial"/>
          <w:b w:val="0"/>
          <w:color w:val="242424"/>
          <w:sz w:val="18"/>
        </w:rPr>
        <w:t>El workspace declara la candidata 0.1.0-rc.1. La distribución objetivo prioriza binario Linux musl, instalación desde fuente con Cargo y paquetes .deb, .rpm y Arch generados por workflow de release. Una candidata es oficial sólo cuando aparece bajo tag anotado coincidente en GitHub Releases.</w:t>
      </w:r>
    </w:p>
    <w:p>
      <w:pPr>
        <w:spacing w:before="120" w:after="20"/>
      </w:pPr>
      <w:r>
        <w:rPr>
          <w:rFonts w:ascii="Arial" w:hAnsi="Arial" w:eastAsia="Arial"/>
          <w:b/>
          <w:color w:val="0F1412"/>
          <w:sz w:val="21"/>
        </w:rPr>
        <w:t>Operación y UI</w:t>
      </w:r>
    </w:p>
    <w:p>
      <w:pPr>
        <w:spacing w:after="20"/>
      </w:pPr>
      <w:r>
        <w:rPr>
          <w:rFonts w:ascii="Arial" w:hAnsi="Arial" w:eastAsia="Arial"/>
          <w:b w:val="0"/>
          <w:color w:val="242424"/>
          <w:sz w:val="18"/>
        </w:rPr>
        <w:t>La UI ofrece Buscar, Analizar evidencia y Resumen con IA cuando está habilitado. Las acciones usan POST JSON para evitar que la consulta aparezca en URL, historial o access logs. El token viaja únicamente por Authorization.</w:t>
      </w:r>
    </w:p>
    <w:p>
      <w:pPr>
        <w:spacing w:before="120" w:after="20"/>
      </w:pPr>
      <w:r>
        <w:rPr>
          <w:rFonts w:ascii="Arial" w:hAnsi="Arial" w:eastAsia="Arial"/>
          <w:b/>
          <w:color w:val="0F1412"/>
          <w:sz w:val="21"/>
        </w:rPr>
        <w:t>Contribución y control</w:t>
      </w:r>
    </w:p>
    <w:p>
      <w:pPr>
        <w:spacing w:after="20"/>
      </w:pPr>
      <w:r>
        <w:rPr>
          <w:rFonts w:ascii="Arial" w:hAnsi="Arial" w:eastAsia="Arial"/>
          <w:b w:val="0"/>
          <w:color w:val="242424"/>
          <w:sz w:val="18"/>
        </w:rPr>
        <w:t>El flujo de contribución exige ramas cortas, commits revisables, pruebas y documentación junto con la implementación. Los contratos plan_amatl.md y fase_a_contratos.md están protegidos; su cambio inicia como ADR y requiere aprobación del propietario @IA-Alex.</w:t>
      </w:r>
    </w:p>
    <w:p>
      <w:pPr>
        <w:spacing w:before="120" w:after="20"/>
      </w:pPr>
      <w:r>
        <w:rPr>
          <w:rFonts w:ascii="Arial" w:hAnsi="Arial" w:eastAsia="Arial"/>
          <w:b/>
          <w:color w:val="0F1412"/>
          <w:sz w:val="21"/>
        </w:rPr>
        <w:t>Compuerta de calidad</w:t>
      </w:r>
    </w:p>
    <w:p>
      <w:pPr>
        <w:spacing w:after="20"/>
      </w:pPr>
      <w:r>
        <w:rPr>
          <w:rFonts w:ascii="Arial" w:hAnsi="Arial" w:eastAsia="Arial"/>
          <w:b w:val="0"/>
          <w:color w:val="242424"/>
          <w:sz w:val="18"/>
        </w:rPr>
        <w:t>La definición de terminado exige compilar, preservar ownership de un solo core, evitar secretos, actualizar documentación pública/configuración y pasar fmt, test, check, clippy -D warnings, cargo audit, cargo deny y cargo cyclonedx.</w:t>
      </w:r>
    </w:p>
    <w:p>
      <w:pPr>
        <w:spacing w:before="140"/>
      </w:pPr>
      <w:r>
        <w:rPr>
          <w:rFonts w:ascii="Arial" w:hAnsi="Arial" w:eastAsia="Arial"/>
          <w:b w:val="0"/>
          <w:color w:val="666666"/>
          <w:sz w:val="16"/>
        </w:rPr>
        <w:t>Nota: este documento resume README.md y CONTRIBUTING.md; la fuente verificable sigue siendo el repositorio, sus pruebas, contratos y documentación técnica.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424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