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 xml:space="preserve">Sprint Retrospective - Sprint 2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Sistema Pañol Salud</w:t>
      </w:r>
    </w:p>
    <w:p>
      <w:pPr>
        <w:spacing w:after="280"/>
        <w:jc w:val="center"/>
      </w:pPr>
      <w:r>
        <w:rPr>
          <w:i/>
          <w:iCs/>
          <w:sz w:val="20"/>
          <w:szCs w:val="20"/>
        </w:rPr>
        <w:t xml:space="preserve">Equipo: César Rojas · Lucas Moncada | Período: 4 - 18 de Mayo de 2026 (Semanas 9-10)</w:t>
      </w:r>
    </w:p>
    <w:p>
      <w:pPr>
        <w:spacing w:after="160"/>
      </w:pPr>
      <w:r>
        <w:t xml:space="preserve">El presente documento registra la Sprint Retrospective del Sprint 2 del proyecto Pañol Salud. Esta ceremonia constituye un espacio de reflexión del equipo para identificar prácticas exitosas, detectar oportunidades de mejora continua y establecer acciones concretas que impulsen la efectividad del desarrollo en sprints posteriores.</w:t>
      </w:r>
    </w:p>
    <w:p>
      <w:pPr>
        <w:pStyle w:val="Heading1"/>
      </w:pPr>
      <w:r>
        <w:t xml:space="preserve">1. ¿Qué Salió Bien?</w:t>
      </w:r>
    </w:p>
    <w:p>
      <w:pPr>
        <w:pStyle w:val="Heading3"/>
      </w:pPr>
      <w:r>
        <w:t xml:space="preserve">POC de Concurrencia Validado en Producción (HU-48)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Decisión: </w:t>
      </w:r>
      <w:r>
        <w:t xml:space="preserve">Resolver la reserva atómica de stock (HU-41/HU-48) con bloqueo pesimista SELECT FOR UPDATE en PostgreSQL, descartando Redis distribuido tras el PoC de Sprint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Impacto: </w:t>
      </w:r>
      <w:r>
        <w:t xml:space="preserve">Se evitó incorporar una pieza de infraestructura adicional (Redis) para un problema que PostgreSQL resolvía de forma nativa y consistente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Resultado: </w:t>
      </w:r>
      <w:r>
        <w:t xml:space="preserve">Las solicitudes simultáneas sobre el mismo producto se serializan correctamente; no se registraron casos de sobreasignación de stock durante las pruebas de carga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Lección: </w:t>
      </w:r>
      <w:r>
        <w:t xml:space="preserve">Validar primero con un PoC acotado evita sobre-ingeniería; no toda concurrencia crítica requiere bloqueos distribuidos</w:t>
      </w:r>
    </w:p>
    <w:p>
      <w:pPr>
        <w:pStyle w:val="Heading3"/>
      </w:pPr>
      <w:r>
        <w:t xml:space="preserve">Contrato API Primero (OpenAPI) Redujo Fricción Frontend-Backend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Decisión: </w:t>
      </w:r>
      <w:r>
        <w:t xml:space="preserve">Definir los esquemas OpenAPI/Swagger de Auth y Préstamos antes de iniciar la implementación paralela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Impacto: </w:t>
      </w:r>
      <w:r>
        <w:t xml:space="preserve">El equipo de frontend trabajó contra un Mock API mientras el backend implementaba HU-31 a HU-44, sin bloqueos de espera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Resultado: </w:t>
      </w:r>
      <w:r>
        <w:t xml:space="preserve">El tiempo de ajuste por endpoint bajó respecto a Sprint 1, cumpliendo el indicador propuesto en la retrospectiva anterior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Lección: </w:t>
      </w:r>
      <w:r>
        <w:t xml:space="preserve">Acordar el contrato antes del Sprint Planning es más eficiente que corregirlo durante el desarrollo</w:t>
      </w:r>
    </w:p>
    <w:p>
      <w:pPr>
        <w:pStyle w:val="Heading3"/>
      </w:pPr>
      <w:r>
        <w:t xml:space="preserve">Comunicación en Tiempo Real con WebSocket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Decisión: </w:t>
      </w:r>
      <w:r>
        <w:t xml:space="preserve">Usar WebSocket para reflejar el cambio automático de estado a 'In Review' (HU-40) y el panel de estado de solicitudes del Docente (HU-33)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Impacto: </w:t>
      </w:r>
      <w:r>
        <w:t xml:space="preserve">La experiencia de usuario mejora notablemente: el Docente ve el avance de su solicitud sin refrescar la página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Resultado: </w:t>
      </w:r>
      <w:r>
        <w:t xml:space="preserve">El cambio a 'In Review' se refleja consistentemente dentro del umbral de 2 segundos definido en la HU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Lección: </w:t>
      </w:r>
      <w:r>
        <w:t xml:space="preserve">Invertir en la capa de tiempo real desde el diseño de Sprint 1 (monolito modular) permitió incorporar WebSocket sin reestructurar la arquitectura</w:t>
      </w:r>
    </w:p>
    <w:p>
      <w:pPr>
        <w:pStyle w:val="Heading3"/>
      </w:pPr>
      <w:r>
        <w:t xml:space="preserve">Autenticación con RUT y Roles (JWT)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Decisión: </w:t>
      </w:r>
      <w:r>
        <w:t xml:space="preserve">Cerrar Auth (HU-01, HU-02, HU-06, HU-10) con JWT que embebe el rol del usuario, aprovechando las políticas RLS definidas desde Sprint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Impacto: </w:t>
      </w:r>
      <w:r>
        <w:t xml:space="preserve">Los tres roles (Coordinador, Director, Docente) quedaron correctamente segmentados de extremo a extremo, desde el login hasta el acceso a datos en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Resultado: </w:t>
      </w:r>
      <w:r>
        <w:t xml:space="preserve">EA N°2 puede demostrarse con usuarios reales por rol, sin accesos cruzados indebidos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Lección: </w:t>
      </w:r>
      <w:r>
        <w:t xml:space="preserve">Diseñar RLS antes de tener el módulo de Auth completo evitó retrabajo de permisos al final del sprint</w:t>
      </w:r>
    </w:p>
    <w:p>
      <w:pPr>
        <w:pStyle w:val="Heading1"/>
      </w:pPr>
      <w:r>
        <w:t xml:space="preserve">2. ¿Qué Se Puede Mejorar?</w:t>
      </w:r>
    </w:p>
    <w:p>
      <w:pPr>
        <w:pStyle w:val="Heading3"/>
      </w:pPr>
      <w:r>
        <w:t xml:space="preserve">HU-48 Subestimada en Esfuerzo de Pruebas</w:t>
      </w:r>
    </w:p>
    <w:p>
      <w:pPr>
        <w:spacing w:after="120"/>
      </w:pPr>
      <w:r>
        <w:rPr>
          <w:b/>
          <w:bCs/>
        </w:rPr>
        <w:t xml:space="preserve">Problema identificado: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Aunque la decisión arquitectónica (SELECT FOR UPDATE) se tomó rápido gracias al PoC de Sprint 1, validar la HU-48 bajo carga real tomó más tiempo del estimado en las 13 SP asignadas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requirió levantar un stack de observabilidad (métricas y monitoreo) para poder demostrar de forma objetiva que el inventario se mantenía consistente bajo solicitudes simultáneas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Esto desplazó parte del tiempo planificado para pulir HU-37/HU-38 (agenda y filtros del Coordinador)</w:t>
      </w:r>
    </w:p>
    <w:p>
      <w:pPr>
        <w:spacing w:after="120"/>
      </w:pPr>
      <w:r>
        <w:rPr>
          <w:b/>
          <w:bCs/>
        </w:rPr>
        <w:t xml:space="preserve">Impacto en la iteración: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épica de Préstamos (E3) cerró con observaciones menores pendientes de pulido visual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equipo terminó el sprint con velocidad ligeramente por debajo del objetivo de 65+ SP planteado en la retrospectiva de Sprint 1</w:t>
      </w:r>
    </w:p>
    <w:p>
      <w:pPr>
        <w:spacing w:after="120"/>
      </w:pPr>
      <w:r>
        <w:rPr>
          <w:b/>
          <w:bCs/>
        </w:rPr>
        <w:t xml:space="preserve">Oportunidad de mejora:</w:t>
      </w:r>
    </w:p>
    <w:p>
      <w:pPr>
        <w:spacing w:after="160"/>
      </w:pPr>
      <w:r>
        <w:t xml:space="preserve">Incorporar explícitamente tiempo de "hardening" y pruebas de carga como una tarea visible dentro de la estimación de HUs críticas (no como trabajo implícito), de modo que el esfuerzo de observabilidad y validación no compita silenciosamente con otras historias del sprint.</w:t>
      </w:r>
    </w:p>
    <w:p>
      <w:pPr>
        <w:pStyle w:val="Heading3"/>
      </w:pPr>
      <w:r>
        <w:t xml:space="preserve">Coordinación de Notificaciones Entre Roles</w:t>
      </w:r>
    </w:p>
    <w:p>
      <w:pPr>
        <w:spacing w:after="120"/>
      </w:pPr>
      <w:r>
        <w:rPr>
          <w:b/>
          <w:bCs/>
        </w:rPr>
        <w:t xml:space="preserve">Problema identificado: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bandeja de notificaciones del Coordinador (vinculada a HU-41/HU-42/HU-44) se desarrolló en paralelo con los flujos de aprobación, generando algunos eventos duplicados durante pruebas manuales</w:t>
      </w:r>
    </w:p>
    <w:p>
      <w:pPr>
        <w:spacing w:after="120"/>
      </w:pPr>
      <w:r>
        <w:rPr>
          <w:b/>
          <w:bCs/>
        </w:rPr>
        <w:t xml:space="preserve">Oportunidad de mejora:</w:t>
      </w:r>
    </w:p>
    <w:p>
      <w:pPr>
        <w:spacing w:after="160"/>
      </w:pPr>
      <w:r>
        <w:t xml:space="preserve">Centralizar la emisión de eventos de notificación en un único punto del backend (en vez de dispararlos desde cada endpoint de transición de estado) para Sprint 3, donde las Alertas y Notificaciones (Épica 4) se vuelven el foco principal.</w:t>
      </w:r>
    </w:p>
    <w:p>
      <w:pPr>
        <w:pStyle w:val="Heading1"/>
      </w:pPr>
      <w:r>
        <w:t xml:space="preserve">3. Plan de Acción para Sprint 3</w:t>
      </w:r>
    </w:p>
    <w:p>
      <w:pPr>
        <w:pStyle w:val="Heading3"/>
      </w:pPr>
      <w:r>
        <w:t xml:space="preserve">Acción 1: Definir Reglas de Negocio Pendientes con el Cliente</w:t>
      </w:r>
    </w:p>
    <w:p>
      <w:pPr>
        <w:spacing w:after="120"/>
      </w:pPr>
      <w:r>
        <w:rPr>
          <w:b/>
          <w:bCs/>
        </w:rPr>
        <w:t xml:space="preserve">Contexto:</w:t>
      </w:r>
    </w:p>
    <w:p>
      <w:pPr>
        <w:spacing w:after="160"/>
      </w:pPr>
      <w:r>
        <w:t xml:space="preserve">Sprint 3 incorpora Alertas, Dashboard ejecutivo y el Bot IA. Existen preguntas abiertas que bloquean el diseño técnico: el tiempo de escalada de una solicitud vencida del Coordinador al Director (HU-57) y la granularidad del Dashboard del Director (HU-63, ¿tiempo real o agregados diarios/semanales?).</w:t>
      </w:r>
    </w:p>
    <w:p>
      <w:pPr>
        <w:spacing w:after="120"/>
      </w:pPr>
      <w:r>
        <w:rPr>
          <w:b/>
          <w:bCs/>
        </w:rPr>
        <w:t xml:space="preserve">Acciones: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Levantar reunión con el cliente antes del inicio de Sprint 3 para definir el umbral de escalada (24h vs. 48h)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junto al Director de Carrera el contenido y la frecuencia de actualización del Dashboard ejecutivo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Documentar ambas decisiones en el backlog antes del Sprint Planning</w:t>
      </w:r>
    </w:p>
    <w:p>
      <w:pPr>
        <w:spacing w:after="120"/>
      </w:pPr>
      <w:r>
        <w:rPr>
          <w:b/>
          <w:bCs/>
        </w:rPr>
        <w:t xml:space="preserve">Responsable: </w:t>
      </w:r>
      <w:r>
        <w:t xml:space="preserve">Lucas Moncada (Producto/Negocio)</w:t>
      </w:r>
    </w:p>
    <w:p>
      <w:pPr>
        <w:spacing w:after="120"/>
      </w:pPr>
      <w:r>
        <w:rPr>
          <w:b/>
          <w:bCs/>
        </w:rPr>
        <w:t xml:space="preserve">Duración estimada: </w:t>
      </w:r>
      <w:r>
        <w:t xml:space="preserve">1 día (Inicio Sprint 3)</w:t>
      </w:r>
    </w:p>
    <w:p>
      <w:pPr>
        <w:pStyle w:val="Heading3"/>
      </w:pPr>
      <w:r>
        <w:t xml:space="preserve">Acción 2: Centralizar Emisión de Eventos de Notificación</w:t>
      </w:r>
    </w:p>
    <w:p>
      <w:pPr>
        <w:spacing w:after="120"/>
      </w:pPr>
      <w:r>
        <w:rPr>
          <w:b/>
          <w:bCs/>
        </w:rPr>
        <w:t xml:space="preserve">Contexto:</w:t>
      </w:r>
    </w:p>
    <w:p>
      <w:pPr>
        <w:spacing w:after="160"/>
      </w:pPr>
      <w:r>
        <w:t xml:space="preserve">Para evitar los eventos duplicados observados en Sprint 2 y soportar de forma ordenada las nuevas notificaciones de Alertas (Épica 4), se requiere una capa única de emisión de eventos.</w:t>
      </w:r>
    </w:p>
    <w:p>
      <w:pPr>
        <w:spacing w:after="120"/>
      </w:pPr>
      <w:r>
        <w:rPr>
          <w:b/>
          <w:bCs/>
        </w:rPr>
        <w:t xml:space="preserve">Acciones: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Diseñar un servicio interno de notificaciones que centralice la emisión hacia WebSocket y persistencia en BD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Migrar los disparadores existentes de HU-41/HU-42/HU-44 a este servicio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Conectar las nuevas alertas de stock mínimo (HU-51) y notificaciones del Bot IA al mismo servicio</w:t>
      </w:r>
    </w:p>
    <w:p>
      <w:pPr>
        <w:spacing w:after="120"/>
      </w:pPr>
      <w:r>
        <w:rPr>
          <w:b/>
          <w:bCs/>
        </w:rPr>
        <w:t xml:space="preserve">Responsable: </w:t>
      </w:r>
      <w:r>
        <w:t xml:space="preserve">César Rojas (Backend)</w:t>
      </w:r>
    </w:p>
    <w:p>
      <w:pPr>
        <w:spacing w:after="120"/>
      </w:pPr>
      <w:r>
        <w:rPr>
          <w:b/>
          <w:bCs/>
        </w:rPr>
        <w:t xml:space="preserve">Duración estimada: </w:t>
      </w:r>
      <w:r>
        <w:t xml:space="preserve">2 días (Inicio Sprint 3)</w:t>
      </w:r>
    </w:p>
    <w:p>
      <w:pPr>
        <w:pStyle w:val="Heading3"/>
      </w:pPr>
      <w:r>
        <w:t xml:space="preserve">Acción 3: Incluir Tiempo de Hardening en la Estimación</w:t>
      </w:r>
    </w:p>
    <w:p>
      <w:pPr>
        <w:spacing w:after="120"/>
      </w:pPr>
      <w:r>
        <w:rPr>
          <w:b/>
          <w:bCs/>
        </w:rPr>
        <w:t xml:space="preserve">Contexto:</w:t>
      </w:r>
    </w:p>
    <w:p>
      <w:pPr>
        <w:spacing w:after="160"/>
      </w:pPr>
      <w:r>
        <w:t xml:space="preserve">La experiencia de HU-48 mostró que el esfuerzo de pruebas de carga y observabilidad para HUs críticas no se reflejó adecuadamente en la estimación inicial.</w:t>
      </w:r>
    </w:p>
    <w:p>
      <w:pPr>
        <w:spacing w:after="120"/>
      </w:pPr>
      <w:r>
        <w:rPr>
          <w:b/>
          <w:bCs/>
        </w:rPr>
        <w:t xml:space="preserve">Acciones: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Identificar en el Sprint Planning de Sprint 3 las HUs que requieran pruebas de carga o validación no funcional (p. ej. HU-65/HU-67/HU-68 del Bot 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Asignar explícitamente SP adicionales o una tarea separada para esa validación</w:t>
      </w:r>
    </w:p>
    <w:p>
      <w:pPr>
        <w:spacing w:after="120"/>
      </w:pPr>
      <w:r>
        <w:rPr>
          <w:b/>
          <w:bCs/>
        </w:rPr>
        <w:t xml:space="preserve">Responsable: </w:t>
      </w:r>
      <w:r>
        <w:t xml:space="preserve">Equipo (César + Lucas)</w:t>
      </w:r>
    </w:p>
    <w:p>
      <w:pPr>
        <w:spacing w:after="120"/>
      </w:pPr>
      <w:r>
        <w:rPr>
          <w:b/>
          <w:bCs/>
        </w:rPr>
        <w:t xml:space="preserve">Duración estimada: </w:t>
      </w:r>
      <w:r>
        <w:t xml:space="preserve">Continuo durante Sprint Planning</w:t>
      </w:r>
    </w:p>
    <w:p>
      <w:pPr>
        <w:pStyle w:val="Heading1"/>
      </w:pPr>
      <w:r>
        <w:t xml:space="preserve">4. Métricas de Mejora Continua</w:t>
      </w:r>
    </w:p>
    <w:p>
      <w:pPr>
        <w:spacing w:after="160"/>
      </w:pPr>
      <w:r>
        <w:rPr>
          <w:b/>
          <w:bCs/>
        </w:rPr>
        <w:t xml:space="preserve">Indicadores de Éxito para Sprint 3: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Eventos de notificación duplicados: </w:t>
      </w:r>
      <w:r>
        <w:t xml:space="preserve">0 casos detectados en pruebas funcionales (vs. duplicados observados en Sprint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Reglas de negocio bloqueantes resueltas: </w:t>
      </w:r>
      <w:r>
        <w:t xml:space="preserve">100% de las preguntas críticas (escalada y dashboard) respondidas antes del Sprint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Cobertura de pruebas no funcionales: </w:t>
      </w:r>
      <w:r>
        <w:t xml:space="preserve">Toda HU marcada como crítica o de alto riesgo cuenta con una tarea de validación explícita en el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Velocidad del equipo sostenida o mejorada: </w:t>
      </w:r>
      <w:r>
        <w:t xml:space="preserve">Objetivo: 60+ SP en Sprint 3 (68 SP planificados)</w:t>
      </w:r>
    </w:p>
    <w:p>
      <w:pPr>
        <w:pStyle w:val="Heading1"/>
      </w:pPr>
      <w:r>
        <w:t xml:space="preserve">5. Síntesis y Compromiso del Equipo</w:t>
      </w:r>
    </w:p>
    <w:p>
      <w:pPr>
        <w:spacing w:after="160"/>
      </w:pPr>
      <w:r>
        <w:t xml:space="preserve">Sprint 2 confirmó que las decisiones tomadas en Sprint 1 — automatización de infraestructura, arquitectura modular y separación de datos — dieron una base sólida para enfrentar el desafío más exigente del proyecto hasta ahora: la concurrencia crítica de HU-48. El equipo resolvió este riesgo con una solución simple y validada, y mantuvo la disciplina de definir contratos API antes de implementar, evitando repetir los problemas de Sprint 1.</w:t>
      </w:r>
    </w:p>
    <w:p>
      <w:pPr>
        <w:spacing w:after="160"/>
      </w:pPr>
      <w:r>
        <w:t xml:space="preserve">La identificación de oportunidades de mejora (estimación de esfuerzo de hardening, centralización de notificaciones) refleja la misma madurez de autoevaluación mostrada en Sprint 1. El equipo se compromete a implementar las acciones definidas en este documento durante Sprint 3 para llegar a EA N°3 con el sistema 100% completo.</w:t>
      </w:r>
    </w:p>
    <w:p>
      <w:pPr>
        <w:spacing w:before="120"/>
      </w:pPr>
      <w:r>
        <w:rPr>
          <w:b/>
          <w:bCs/>
          <w:i/>
          <w:iCs/>
        </w:rPr>
        <w:t xml:space="preserve">Con la base de Auth y Préstamos Core operativa, y con las reglas de negocio pendientes resueltas a tiempo, se espera que Sprint 3 cierre el sistema completo con la misma fluidez demostrada hasta ahora.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2026-06-30T16:18:09.393Z</dcterms:created>
  <dcterms:modified xsi:type="dcterms:W3CDTF">2026-06-30T16:18:09.393Z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