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5B6"/>
          <w:sz w:val="36"/>
          <w:szCs w:val="36"/>
        </w:rPr>
        <w:t xml:space="preserve">Sprint Retrospective - Sprint 3</w:t>
      </w:r>
    </w:p>
    <w:p>
      <w:pPr>
        <w:spacing w:after="60"/>
        <w:jc w:val="center"/>
      </w:pPr>
      <w:r>
        <w:rPr>
          <w:b/>
          <w:bCs/>
          <w:sz w:val="26"/>
          <w:szCs w:val="26"/>
        </w:rPr>
        <w:t xml:space="preserve">Sistema Pañol Salud</w:t>
      </w:r>
    </w:p>
    <w:p>
      <w:pPr>
        <w:spacing w:after="280"/>
        <w:jc w:val="center"/>
      </w:pPr>
      <w:r>
        <w:rPr>
          <w:i/>
          <w:iCs/>
          <w:sz w:val="20"/>
          <w:szCs w:val="20"/>
        </w:rPr>
        <w:t xml:space="preserve">Equipo: César Rojas · Lucas Moncada | Período: 19 de Mayo - 1 de Junio de 2026 (Semanas 12-13)</w:t>
      </w:r>
    </w:p>
    <w:p>
      <w:pPr>
        <w:spacing w:after="160"/>
      </w:pPr>
      <w:r>
        <w:t xml:space="preserve">El presente documento registra la Sprint Retrospective del Sprint 3 del proyecto Pañol Salud, último sprint de construcción antes de la Semana 14 (Testing, Refinamiento y Documentación) y de la Entrega de Avance N°3. Esta ceremonia constituye un espacio de reflexión del equipo para identificar prácticas exitosas, detectar oportunidades de mejora continua y establecer acciones concretas que aseguren un cierre de proyecto sólido.</w:t>
      </w:r>
    </w:p>
    <w:p>
      <w:pPr>
        <w:pStyle w:val="Heading1"/>
      </w:pPr>
      <w:r>
        <w:t xml:space="preserve">1. ¿Qué Salió Bien?</w:t>
      </w:r>
    </w:p>
    <w:p>
      <w:pPr>
        <w:pStyle w:val="Heading3"/>
      </w:pPr>
      <w:r>
        <w:t xml:space="preserve">Reglas de Negocio Resueltas a Tiempo</w:t>
      </w:r>
    </w:p>
    <w:p>
      <w:pPr>
        <w:pStyle w:val="ListParagraph"/>
        <w:numPr>
          <w:ilvl w:val="0"/>
          <w:numId w:val="2"/>
        </w:numPr>
        <w:spacing w:after="80"/>
      </w:pPr>
      <w:r>
        <w:rPr>
          <w:b/>
          <w:bCs/>
        </w:rPr>
        <w:t xml:space="preserve">Decisión: </w:t>
      </w:r>
      <w:r>
        <w:t xml:space="preserve">Cerrar con el cliente, antes del Sprint Planning, el tiempo de escalada de solicitudes vencidas (24 horas sin respuesta del Coordinador) y la granularidad del Dashboard ejecutivo (datos diarios/semanales con gráficos de tendencia, no en tiempo real)</w:t>
      </w:r>
    </w:p>
    <w:p>
      <w:pPr>
        <w:pStyle w:val="ListParagraph"/>
        <w:numPr>
          <w:ilvl w:val="0"/>
          <w:numId w:val="2"/>
        </w:numPr>
        <w:spacing w:after="80"/>
      </w:pPr>
      <w:r>
        <w:rPr>
          <w:b/>
          <w:bCs/>
        </w:rPr>
        <w:t xml:space="preserve">Impacto: </w:t>
      </w:r>
      <w:r>
        <w:t xml:space="preserve">HU-56/notificaciones de vencido y HU-63 (Dashboard del Director) se diseñaron sin supuestos, evitando el retrabajo que se había anticipado en la retrospectiva de Sprint 2</w:t>
      </w:r>
    </w:p>
    <w:p>
      <w:pPr>
        <w:pStyle w:val="ListParagraph"/>
        <w:numPr>
          <w:ilvl w:val="0"/>
          <w:numId w:val="2"/>
        </w:numPr>
        <w:spacing w:after="80"/>
      </w:pPr>
      <w:r>
        <w:rPr>
          <w:b/>
          <w:bCs/>
        </w:rPr>
        <w:t xml:space="preserve">Resultado: </w:t>
      </w:r>
      <w:r>
        <w:t xml:space="preserve">Ambas historias se implementaron en su primera iteración sin observaciones de negocio</w:t>
      </w:r>
    </w:p>
    <w:p>
      <w:pPr>
        <w:pStyle w:val="ListParagraph"/>
        <w:numPr>
          <w:ilvl w:val="0"/>
          <w:numId w:val="2"/>
        </w:numPr>
        <w:spacing w:after="80"/>
      </w:pPr>
      <w:r>
        <w:rPr>
          <w:b/>
          <w:bCs/>
        </w:rPr>
        <w:t xml:space="preserve">Lección: </w:t>
      </w:r>
      <w:r>
        <w:t xml:space="preserve">Bloquear el inicio del sprint hasta resolver preguntas críticas de negocio es más barato que descubrir el desajuste a mitad de la implementación</w:t>
      </w:r>
    </w:p>
    <w:p>
      <w:pPr>
        <w:pStyle w:val="Heading3"/>
      </w:pPr>
      <w:r>
        <w:t xml:space="preserve">Servicio Centralizado de Notificaciones</w:t>
      </w:r>
    </w:p>
    <w:p>
      <w:pPr>
        <w:pStyle w:val="ListParagraph"/>
        <w:numPr>
          <w:ilvl w:val="0"/>
          <w:numId w:val="2"/>
        </w:numPr>
        <w:spacing w:after="80"/>
      </w:pPr>
      <w:r>
        <w:rPr>
          <w:b/>
          <w:bCs/>
        </w:rPr>
        <w:t xml:space="preserve">Decisión: </w:t>
      </w:r>
      <w:r>
        <w:t xml:space="preserve">Migrar todos los disparadores de notificación (HU-51, HU-54, HU-55, HU-56, HU-50C) al servicio centralizado diseñado como acción de Sprint 2</w:t>
      </w:r>
    </w:p>
    <w:p>
      <w:pPr>
        <w:pStyle w:val="ListParagraph"/>
        <w:numPr>
          <w:ilvl w:val="0"/>
          <w:numId w:val="2"/>
        </w:numPr>
        <w:spacing w:after="80"/>
      </w:pPr>
      <w:r>
        <w:rPr>
          <w:b/>
          <w:bCs/>
        </w:rPr>
        <w:t xml:space="preserve">Impacto: </w:t>
      </w:r>
      <w:r>
        <w:t xml:space="preserve">Las nuevas alertas de stock mínimo y de solicitudes vencidas se integraron sin duplicar lógica de emisión</w:t>
      </w:r>
    </w:p>
    <w:p>
      <w:pPr>
        <w:pStyle w:val="ListParagraph"/>
        <w:numPr>
          <w:ilvl w:val="0"/>
          <w:numId w:val="2"/>
        </w:numPr>
        <w:spacing w:after="80"/>
      </w:pPr>
      <w:r>
        <w:rPr>
          <w:b/>
          <w:bCs/>
        </w:rPr>
        <w:t xml:space="preserve">Resultado: </w:t>
      </w:r>
      <w:r>
        <w:t xml:space="preserve">Cero eventos de notificación duplicados detectados en pruebas funcionales, cumpliendo el indicador definido en Sprint 2</w:t>
      </w:r>
    </w:p>
    <w:p>
      <w:pPr>
        <w:pStyle w:val="ListParagraph"/>
        <w:numPr>
          <w:ilvl w:val="0"/>
          <w:numId w:val="2"/>
        </w:numPr>
        <w:spacing w:after="80"/>
      </w:pPr>
      <w:r>
        <w:rPr>
          <w:b/>
          <w:bCs/>
        </w:rPr>
        <w:t xml:space="preserve">Lección: </w:t>
      </w:r>
      <w:r>
        <w:t xml:space="preserve">Invertir en una capa de eventos compartida antes de escalar el número de notificaciones del sistema paga dividendos directos en estabilidad</w:t>
      </w:r>
    </w:p>
    <w:p>
      <w:pPr>
        <w:pStyle w:val="Heading3"/>
      </w:pPr>
      <w:r>
        <w:t xml:space="preserve">Bot de Asistencia (IA) Operativo en su Alcance Core</w:t>
      </w:r>
    </w:p>
    <w:p>
      <w:pPr>
        <w:pStyle w:val="ListParagraph"/>
        <w:numPr>
          <w:ilvl w:val="0"/>
          <w:numId w:val="2"/>
        </w:numPr>
        <w:spacing w:after="80"/>
      </w:pPr>
      <w:r>
        <w:rPr>
          <w:b/>
          <w:bCs/>
        </w:rPr>
        <w:t xml:space="preserve">Decisión: </w:t>
      </w:r>
      <w:r>
        <w:t xml:space="preserve">Acotar el Bot IA de Sprint 3 a tres intenciones bien definidas: disponibilidad (HU-65), agenda del día (HU-67) y stock bajo mínimo (HU-68), dejando el resto del backlog de la Épica 5 fuera de alcance</w:t>
      </w:r>
    </w:p>
    <w:p>
      <w:pPr>
        <w:pStyle w:val="ListParagraph"/>
        <w:numPr>
          <w:ilvl w:val="0"/>
          <w:numId w:val="2"/>
        </w:numPr>
        <w:spacing w:after="80"/>
      </w:pPr>
      <w:r>
        <w:rPr>
          <w:b/>
          <w:bCs/>
        </w:rPr>
        <w:t xml:space="preserve">Impacto: </w:t>
      </w:r>
      <w:r>
        <w:t xml:space="preserve">El equipo pudo entregar un bot funcional y confiable en vez de una versión amplia pero inestable</w:t>
      </w:r>
    </w:p>
    <w:p>
      <w:pPr>
        <w:pStyle w:val="ListParagraph"/>
        <w:numPr>
          <w:ilvl w:val="0"/>
          <w:numId w:val="2"/>
        </w:numPr>
        <w:spacing w:after="80"/>
      </w:pPr>
      <w:r>
        <w:rPr>
          <w:b/>
          <w:bCs/>
        </w:rPr>
        <w:t xml:space="preserve">Resultado: </w:t>
      </w:r>
      <w:r>
        <w:t xml:space="preserve">El bot responde correctamente diferenciando el nivel de detalle por rol (Docente: sí/no; Coordinador/Director: cantidades), respetando los permisos definidos desde el inicio del proyecto</w:t>
      </w:r>
    </w:p>
    <w:p>
      <w:pPr>
        <w:pStyle w:val="ListParagraph"/>
        <w:numPr>
          <w:ilvl w:val="0"/>
          <w:numId w:val="2"/>
        </w:numPr>
        <w:spacing w:after="80"/>
      </w:pPr>
      <w:r>
        <w:rPr>
          <w:b/>
          <w:bCs/>
        </w:rPr>
        <w:t xml:space="preserve">Lección: </w:t>
      </w:r>
      <w:r>
        <w:t xml:space="preserve">Acotar agresivamente el alcance de una funcionalidad nueva (IA) en el último sprint reduce el riesgo de llegar a EA N°3 con una pieza inestable</w:t>
      </w:r>
    </w:p>
    <w:p>
      <w:pPr>
        <w:pStyle w:val="Heading3"/>
      </w:pPr>
      <w:r>
        <w:t xml:space="preserve">Cierre del Ciclo de Vida de Préstamos</w:t>
      </w:r>
    </w:p>
    <w:p>
      <w:pPr>
        <w:pStyle w:val="ListParagraph"/>
        <w:numPr>
          <w:ilvl w:val="0"/>
          <w:numId w:val="2"/>
        </w:numPr>
        <w:spacing w:after="80"/>
      </w:pPr>
      <w:r>
        <w:rPr>
          <w:b/>
          <w:bCs/>
        </w:rPr>
        <w:t xml:space="preserve">Decisión: </w:t>
      </w:r>
      <w:r>
        <w:t xml:space="preserve">Completar el ciclo de vida de una solicitud de préstamo con HU-45 (devolución total), HU-35/HU-35B (edición y cancelación por el Docente) y HU-31B (solicitudes para agentes externos)</w:t>
      </w:r>
    </w:p>
    <w:p>
      <w:pPr>
        <w:pStyle w:val="ListParagraph"/>
        <w:numPr>
          <w:ilvl w:val="0"/>
          <w:numId w:val="2"/>
        </w:numPr>
        <w:spacing w:after="80"/>
      </w:pPr>
      <w:r>
        <w:rPr>
          <w:b/>
          <w:bCs/>
        </w:rPr>
        <w:t xml:space="preserve">Impacto: </w:t>
      </w:r>
      <w:r>
        <w:t xml:space="preserve">El módulo de Préstamos quedó funcionalmente completo de extremo a extremo, desde la creación hasta el cierre del ciclo</w:t>
      </w:r>
    </w:p>
    <w:p>
      <w:pPr>
        <w:pStyle w:val="ListParagraph"/>
        <w:numPr>
          <w:ilvl w:val="0"/>
          <w:numId w:val="2"/>
        </w:numPr>
        <w:spacing w:after="80"/>
      </w:pPr>
      <w:r>
        <w:rPr>
          <w:b/>
          <w:bCs/>
        </w:rPr>
        <w:t xml:space="preserve">Resultado: </w:t>
      </w:r>
      <w:r>
        <w:t xml:space="preserve">El stock se revierte y actualiza correctamente en todos los caminos del flujo (cancelación, devolución, rechazo), validado contra los estados ya cubiertos por HU-48 en Sprint 2</w:t>
      </w:r>
    </w:p>
    <w:p>
      <w:pPr>
        <w:pStyle w:val="ListParagraph"/>
        <w:numPr>
          <w:ilvl w:val="0"/>
          <w:numId w:val="2"/>
        </w:numPr>
        <w:spacing w:after="80"/>
      </w:pPr>
      <w:r>
        <w:rPr>
          <w:b/>
          <w:bCs/>
        </w:rPr>
        <w:t xml:space="preserve">Lección: </w:t>
      </w:r>
      <w:r>
        <w:t xml:space="preserve">Cerrar un módulo completo en lugar de dejar caminos alternativos pendientes facilita enormemente las pruebas de integración de Semana 14</w:t>
      </w:r>
    </w:p>
    <w:p>
      <w:pPr>
        <w:pStyle w:val="Heading1"/>
      </w:pPr>
      <w:r>
        <w:t xml:space="preserve">2. ¿Qué Se Puede Mejorar?</w:t>
      </w:r>
    </w:p>
    <w:p>
      <w:pPr>
        <w:pStyle w:val="Heading3"/>
      </w:pPr>
      <w:r>
        <w:t xml:space="preserve">Cobertura de Casos del Bot IA</w:t>
      </w:r>
    </w:p>
    <w:p>
      <w:pPr>
        <w:spacing w:after="120"/>
      </w:pPr>
      <w:r>
        <w:rPr>
          <w:b/>
          <w:bCs/>
        </w:rPr>
        <w:t xml:space="preserve">Problema identificado:</w:t>
      </w:r>
    </w:p>
    <w:p>
      <w:pPr>
        <w:pStyle w:val="ListParagraph"/>
        <w:numPr>
          <w:ilvl w:val="0"/>
          <w:numId w:val="2"/>
        </w:numPr>
        <w:spacing w:after="80"/>
      </w:pPr>
      <w:r>
        <w:t xml:space="preserve">Aunque las tres intenciones core del bot funcionan de forma confiable, no se incluyó una tarea explícita de hardening para el Bot IA, replicando parcialmente el mismo problema identificado con HU-48 en Sprint 2</w:t>
      </w:r>
    </w:p>
    <w:p>
      <w:pPr>
        <w:pStyle w:val="ListParagraph"/>
        <w:numPr>
          <w:ilvl w:val="0"/>
          <w:numId w:val="2"/>
        </w:numPr>
        <w:spacing w:after="80"/>
      </w:pPr>
      <w:r>
        <w:t xml:space="preserve">Algunas variaciones de redacción de la pregunta del usuario (sinónimos, errores de tipeo) no son reconocidas correctamente por el bot</w:t>
      </w:r>
    </w:p>
    <w:p>
      <w:pPr>
        <w:spacing w:after="120"/>
      </w:pPr>
      <w:r>
        <w:rPr>
          <w:b/>
          <w:bCs/>
        </w:rPr>
        <w:t xml:space="preserve">Impacto en la iteración:</w:t>
      </w:r>
    </w:p>
    <w:p>
      <w:pPr>
        <w:pStyle w:val="ListParagraph"/>
        <w:numPr>
          <w:ilvl w:val="0"/>
          <w:numId w:val="2"/>
        </w:numPr>
        <w:spacing w:after="80"/>
      </w:pPr>
      <w:r>
        <w:t xml:space="preserve">El Bot IA queda funcional para la demo de EA N°3, pero con una tasa de reconocimiento de intención que no se midió formalmente</w:t>
      </w:r>
    </w:p>
    <w:p>
      <w:pPr>
        <w:spacing w:after="120"/>
      </w:pPr>
      <w:r>
        <w:rPr>
          <w:b/>
          <w:bCs/>
        </w:rPr>
        <w:t xml:space="preserve">Oportunidad de mejora:</w:t>
      </w:r>
    </w:p>
    <w:p>
      <w:pPr>
        <w:spacing w:after="160"/>
      </w:pPr>
      <w:r>
        <w:t xml:space="preserve">Definir un set de pruebas de regresión con variaciones reales de preguntas (no solo el caso feliz) y ejecutarlo durante Semana 14, antes de considerar el Bot IA como verdaderamente cerrado.</w:t>
      </w:r>
    </w:p>
    <w:p>
      <w:pPr>
        <w:pStyle w:val="Heading3"/>
      </w:pPr>
      <w:r>
        <w:t xml:space="preserve">Dashboard Ejecutivo: Validación Visual Pendiente</w:t>
      </w:r>
    </w:p>
    <w:p>
      <w:pPr>
        <w:spacing w:after="120"/>
      </w:pPr>
      <w:r>
        <w:rPr>
          <w:b/>
          <w:bCs/>
        </w:rPr>
        <w:t xml:space="preserve">Problema identificado:</w:t>
      </w:r>
    </w:p>
    <w:p>
      <w:pPr>
        <w:pStyle w:val="ListParagraph"/>
        <w:numPr>
          <w:ilvl w:val="0"/>
          <w:numId w:val="2"/>
        </w:numPr>
        <w:spacing w:after="80"/>
      </w:pPr>
      <w:r>
        <w:t xml:space="preserve">El Dashboard del Director (HU-63) se implementó según la granularidad acordada, pero no se realizó una sesión de validación visual con el cliente antes del cierre del sprint</w:t>
      </w:r>
    </w:p>
    <w:p>
      <w:pPr>
        <w:spacing w:after="120"/>
      </w:pPr>
      <w:r>
        <w:rPr>
          <w:b/>
          <w:bCs/>
        </w:rPr>
        <w:t xml:space="preserve">Oportunidad de mejora:</w:t>
      </w:r>
    </w:p>
    <w:p>
      <w:pPr>
        <w:spacing w:after="160"/>
      </w:pPr>
      <w:r>
        <w:t xml:space="preserve">Agendar una revisión breve con el Director de Carrera durante Semana 14, antes de la presentación final de EA N°3, para confirmar que el dashboard comunica lo que el cliente necesita y no solo lo que técnicamente se acordó.</w:t>
      </w:r>
    </w:p>
    <w:p>
      <w:pPr>
        <w:pStyle w:val="Heading1"/>
      </w:pPr>
      <w:r>
        <w:t xml:space="preserve">3. Plan de Acción para Semana 14 (Testing, Refinamiento y Documentación)</w:t>
      </w:r>
    </w:p>
    <w:p>
      <w:pPr>
        <w:pStyle w:val="Heading3"/>
      </w:pPr>
      <w:r>
        <w:t xml:space="preserve">Acción 1: Pruebas de Regresión del Bot IA</w:t>
      </w:r>
    </w:p>
    <w:p>
      <w:pPr>
        <w:spacing w:after="120"/>
      </w:pPr>
      <w:r>
        <w:rPr>
          <w:b/>
          <w:bCs/>
        </w:rPr>
        <w:t xml:space="preserve">Contexto:</w:t>
      </w:r>
    </w:p>
    <w:p>
      <w:pPr>
        <w:spacing w:after="160"/>
      </w:pPr>
      <w:r>
        <w:t xml:space="preserve">El Bot IA llega a Semana 14 sin una validación formal de su tasa de reconocimiento de intención fuera del caso feliz.</w:t>
      </w:r>
    </w:p>
    <w:p>
      <w:pPr>
        <w:spacing w:after="120"/>
      </w:pPr>
      <w:r>
        <w:rPr>
          <w:b/>
          <w:bCs/>
        </w:rPr>
        <w:t xml:space="preserve">Acciones:</w:t>
      </w:r>
    </w:p>
    <w:p>
      <w:pPr>
        <w:pStyle w:val="ListParagraph"/>
        <w:numPr>
          <w:ilvl w:val="0"/>
          <w:numId w:val="2"/>
        </w:numPr>
        <w:spacing w:after="80"/>
      </w:pPr>
      <w:r>
        <w:t xml:space="preserve">Construir un set de al menos 20 variaciones de preguntas por intención (disponibilidad, agenda, stock mínimo)</w:t>
      </w:r>
    </w:p>
    <w:p>
      <w:pPr>
        <w:pStyle w:val="ListParagraph"/>
        <w:numPr>
          <w:ilvl w:val="0"/>
          <w:numId w:val="2"/>
        </w:numPr>
        <w:spacing w:after="80"/>
      </w:pPr>
      <w:r>
        <w:t xml:space="preserve">Medir tasa de reconocimiento correcto y ajustar prompts/reglas de matching donde sea necesario</w:t>
      </w:r>
    </w:p>
    <w:p>
      <w:pPr>
        <w:pStyle w:val="ListParagraph"/>
        <w:numPr>
          <w:ilvl w:val="0"/>
          <w:numId w:val="2"/>
        </w:numPr>
        <w:spacing w:after="80"/>
      </w:pPr>
      <w:r>
        <w:t xml:space="preserve">Documentar limitaciones conocidas en el manual de usuario del Coordinador</w:t>
      </w:r>
    </w:p>
    <w:p>
      <w:pPr>
        <w:spacing w:after="120"/>
      </w:pPr>
      <w:r>
        <w:rPr>
          <w:b/>
          <w:bCs/>
        </w:rPr>
        <w:t xml:space="preserve">Responsable: </w:t>
      </w:r>
      <w:r>
        <w:t xml:space="preserve">César Rojas (Backend / IA)</w:t>
      </w:r>
    </w:p>
    <w:p>
      <w:pPr>
        <w:spacing w:after="120"/>
      </w:pPr>
      <w:r>
        <w:rPr>
          <w:b/>
          <w:bCs/>
        </w:rPr>
        <w:t xml:space="preserve">Duración estimada: </w:t>
      </w:r>
      <w:r>
        <w:t xml:space="preserve">1.5 días</w:t>
      </w:r>
    </w:p>
    <w:p>
      <w:pPr>
        <w:pStyle w:val="Heading3"/>
      </w:pPr>
      <w:r>
        <w:t xml:space="preserve">Acción 2: Validación Visual del Dashboard con el Cliente</w:t>
      </w:r>
    </w:p>
    <w:p>
      <w:pPr>
        <w:spacing w:after="120"/>
      </w:pPr>
      <w:r>
        <w:rPr>
          <w:b/>
          <w:bCs/>
        </w:rPr>
        <w:t xml:space="preserve">Contexto:</w:t>
      </w:r>
    </w:p>
    <w:p>
      <w:pPr>
        <w:spacing w:after="160"/>
      </w:pPr>
      <w:r>
        <w:t xml:space="preserve">El Dashboard ejecutivo no ha sido revisado visualmente por el Director de Carrera, pese a tener la granularidad de datos ya acordada.</w:t>
      </w:r>
    </w:p>
    <w:p>
      <w:pPr>
        <w:spacing w:after="120"/>
      </w:pPr>
      <w:r>
        <w:rPr>
          <w:b/>
          <w:bCs/>
        </w:rPr>
        <w:t xml:space="preserve">Acciones:</w:t>
      </w:r>
    </w:p>
    <w:p>
      <w:pPr>
        <w:pStyle w:val="ListParagraph"/>
        <w:numPr>
          <w:ilvl w:val="0"/>
          <w:numId w:val="2"/>
        </w:numPr>
        <w:spacing w:after="80"/>
      </w:pPr>
      <w:r>
        <w:t xml:space="preserve">Agendar sesión de revisión de 30 minutos con el Director antes de EA N°3</w:t>
      </w:r>
    </w:p>
    <w:p>
      <w:pPr>
        <w:pStyle w:val="ListParagraph"/>
        <w:numPr>
          <w:ilvl w:val="0"/>
          <w:numId w:val="2"/>
        </w:numPr>
        <w:spacing w:after="80"/>
      </w:pPr>
      <w:r>
        <w:t xml:space="preserve">Levantar ajustes menores de presentación si los hubiera (orden de tarjetas, gráficos, filtros)</w:t>
      </w:r>
    </w:p>
    <w:p>
      <w:pPr>
        <w:spacing w:after="120"/>
      </w:pPr>
      <w:r>
        <w:rPr>
          <w:b/>
          <w:bCs/>
        </w:rPr>
        <w:t xml:space="preserve">Responsable: </w:t>
      </w:r>
      <w:r>
        <w:t xml:space="preserve">Lucas Moncada (Producto)</w:t>
      </w:r>
    </w:p>
    <w:p>
      <w:pPr>
        <w:spacing w:after="120"/>
      </w:pPr>
      <w:r>
        <w:rPr>
          <w:b/>
          <w:bCs/>
        </w:rPr>
        <w:t xml:space="preserve">Duración estimada: </w:t>
      </w:r>
      <w:r>
        <w:t xml:space="preserve">0.5 día + tiempo de ajustes si aplica</w:t>
      </w:r>
    </w:p>
    <w:p>
      <w:pPr>
        <w:pStyle w:val="Heading3"/>
      </w:pPr>
      <w:r>
        <w:t xml:space="preserve">Acción 3: Pruebas de Integración End-to-End y Documentación Técnica</w:t>
      </w:r>
    </w:p>
    <w:p>
      <w:pPr>
        <w:spacing w:after="120"/>
      </w:pPr>
      <w:r>
        <w:rPr>
          <w:b/>
          <w:bCs/>
        </w:rPr>
        <w:t xml:space="preserve">Contexto:</w:t>
      </w:r>
    </w:p>
    <w:p>
      <w:pPr>
        <w:spacing w:after="160"/>
      </w:pPr>
      <w:r>
        <w:t xml:space="preserve">Semana 14 es la última oportunidad antes de EA N°3 para validar el sistema completo de forma integrada y dejar la documentación técnica al día.</w:t>
      </w:r>
    </w:p>
    <w:p>
      <w:pPr>
        <w:spacing w:after="120"/>
      </w:pPr>
      <w:r>
        <w:rPr>
          <w:b/>
          <w:bCs/>
        </w:rPr>
        <w:t xml:space="preserve">Acciones:</w:t>
      </w:r>
    </w:p>
    <w:p>
      <w:pPr>
        <w:pStyle w:val="ListParagraph"/>
        <w:numPr>
          <w:ilvl w:val="0"/>
          <w:numId w:val="2"/>
        </w:numPr>
        <w:spacing w:after="80"/>
      </w:pPr>
      <w:r>
        <w:t xml:space="preserve">Ejecutar pruebas funcionales de los flujos completos: inventario, préstamos, alertas y bot IA en conjunto</w:t>
      </w:r>
    </w:p>
    <w:p>
      <w:pPr>
        <w:pStyle w:val="ListParagraph"/>
        <w:numPr>
          <w:ilvl w:val="0"/>
          <w:numId w:val="2"/>
        </w:numPr>
        <w:spacing w:after="80"/>
      </w:pPr>
      <w:r>
        <w:t xml:space="preserve">Repetir pruebas de carga sobre HU-48 ahora con el volumen total de notificaciones del sistema activo</w:t>
      </w:r>
    </w:p>
    <w:p>
      <w:pPr>
        <w:pStyle w:val="ListParagraph"/>
        <w:numPr>
          <w:ilvl w:val="0"/>
          <w:numId w:val="2"/>
        </w:numPr>
        <w:spacing w:after="80"/>
      </w:pPr>
      <w:r>
        <w:t xml:space="preserve">Actualizar documentación de arquitectura, catálogo de API REST y manual de usuario del Coordinador</w:t>
      </w:r>
    </w:p>
    <w:p>
      <w:pPr>
        <w:pStyle w:val="ListParagraph"/>
        <w:numPr>
          <w:ilvl w:val="0"/>
          <w:numId w:val="2"/>
        </w:numPr>
        <w:spacing w:after="80"/>
      </w:pPr>
      <w:r>
        <w:t xml:space="preserve">Preparar la presentación final para EA N°3</w:t>
      </w:r>
    </w:p>
    <w:p>
      <w:pPr>
        <w:spacing w:after="120"/>
      </w:pPr>
      <w:r>
        <w:rPr>
          <w:b/>
          <w:bCs/>
        </w:rPr>
        <w:t xml:space="preserve">Responsable: </w:t>
      </w:r>
      <w:r>
        <w:t xml:space="preserve">Equipo (César + Lucas)</w:t>
      </w:r>
    </w:p>
    <w:p>
      <w:pPr>
        <w:spacing w:after="120"/>
      </w:pPr>
      <w:r>
        <w:rPr>
          <w:b/>
          <w:bCs/>
        </w:rPr>
        <w:t xml:space="preserve">Duración estimada: </w:t>
      </w:r>
      <w:r>
        <w:t xml:space="preserve">Semana 14 completa</w:t>
      </w:r>
    </w:p>
    <w:p>
      <w:pPr>
        <w:pStyle w:val="Heading1"/>
      </w:pPr>
      <w:r>
        <w:t xml:space="preserve">4. Métricas de Mejora Continua</w:t>
      </w:r>
    </w:p>
    <w:p>
      <w:pPr>
        <w:spacing w:after="160"/>
      </w:pPr>
      <w:r>
        <w:rPr>
          <w:b/>
          <w:bCs/>
        </w:rPr>
        <w:t xml:space="preserve">Indicadores de Éxito para Semana 14 / EA N°3:</w:t>
      </w:r>
    </w:p>
    <w:p>
      <w:pPr>
        <w:pStyle w:val="ListParagraph"/>
        <w:numPr>
          <w:ilvl w:val="0"/>
          <w:numId w:val="2"/>
        </w:numPr>
        <w:spacing w:after="80"/>
      </w:pPr>
      <w:r>
        <w:rPr>
          <w:b/>
          <w:bCs/>
        </w:rPr>
        <w:t xml:space="preserve">Reconocimiento de intención del Bot IA: </w:t>
      </w:r>
      <w:r>
        <w:t xml:space="preserve">≥ 85% de aciertos sobre el set de pruebas de regresión</w:t>
      </w:r>
    </w:p>
    <w:p>
      <w:pPr>
        <w:pStyle w:val="ListParagraph"/>
        <w:numPr>
          <w:ilvl w:val="0"/>
          <w:numId w:val="2"/>
        </w:numPr>
        <w:spacing w:after="80"/>
      </w:pPr>
      <w:r>
        <w:rPr>
          <w:b/>
          <w:bCs/>
        </w:rPr>
        <w:t xml:space="preserve">Validación de negocio del Dashboard: </w:t>
      </w:r>
      <w:r>
        <w:t xml:space="preserve">Sesión con el Director realizada y sin observaciones bloqueantes antes de EA N°3</w:t>
      </w:r>
    </w:p>
    <w:p>
      <w:pPr>
        <w:pStyle w:val="ListParagraph"/>
        <w:numPr>
          <w:ilvl w:val="0"/>
          <w:numId w:val="2"/>
        </w:numPr>
        <w:spacing w:after="80"/>
      </w:pPr>
      <w:r>
        <w:rPr>
          <w:b/>
          <w:bCs/>
        </w:rPr>
        <w:t xml:space="preserve">Pruebas de integración end-to-end: </w:t>
      </w:r>
      <w:r>
        <w:t xml:space="preserve">100% de los flujos críticos (inventario → préstamo → devolución → alerta) ejecutados sin errores</w:t>
      </w:r>
    </w:p>
    <w:p>
      <w:pPr>
        <w:pStyle w:val="ListParagraph"/>
        <w:numPr>
          <w:ilvl w:val="0"/>
          <w:numId w:val="2"/>
        </w:numPr>
        <w:spacing w:after="80"/>
      </w:pPr>
      <w:r>
        <w:rPr>
          <w:b/>
          <w:bCs/>
        </w:rPr>
        <w:t xml:space="preserve">Documentación técnica: </w:t>
      </w:r>
      <w:r>
        <w:t xml:space="preserve">Arquitectura, API REST y manual de usuario actualizados al 100% antes de la presentación final</w:t>
      </w:r>
    </w:p>
    <w:p>
      <w:pPr>
        <w:pStyle w:val="Heading1"/>
      </w:pPr>
      <w:r>
        <w:t xml:space="preserve">5. Síntesis y Compromiso del Equipo</w:t>
      </w:r>
    </w:p>
    <w:p>
      <w:pPr>
        <w:spacing w:after="160"/>
      </w:pPr>
      <w:r>
        <w:t xml:space="preserve">Sprint 3 cerró la construcción funcional del Sistema Pañol Salud. El equipo confirmó que resolver las reglas de negocio antes de implementar y centralizar la emisión de notificaciones — ambas acciones comprometidas en la retrospectiva de Sprint 2 — eliminaron fricciones que en sprints anteriores habían costado tiempo de retrabajo. La decisión de acotar agresivamente el alcance del Bot IA permitió entregar una funcionalidad nueva de forma estable en lugar de una versión amplia pero frágil.</w:t>
      </w:r>
    </w:p>
    <w:p>
      <w:pPr>
        <w:spacing w:after="160"/>
      </w:pPr>
      <w:r>
        <w:t xml:space="preserve">Las oportunidades de mejora identificadas (cobertura de pruebas del bot, validación visual del dashboard) son ajustes finos, no riesgos estructurales, lo que refleja la madurez técnica acumulada por el equipo a lo largo de los tres sprints. El equipo se compromete a ejecutar el plan de Semana 14 con el mismo rigor aplicado durante todo el proyecto, de cara a una Entrega de Avance N°3 con el sistema 100% completo.</w:t>
      </w:r>
    </w:p>
    <w:p>
      <w:pPr>
        <w:spacing w:before="120"/>
      </w:pPr>
      <w:r>
        <w:rPr>
          <w:b/>
          <w:bCs/>
          <w:i/>
          <w:iCs/>
        </w:rPr>
        <w:t xml:space="preserve">Con el sistema funcionalmente completo y un plan claro para Semana 14, el equipo llega a EA N°3 en una posición sólida para demostrar el trabajo de los tres sprints.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1F1F"/>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2026-06-30T16:25:46.044Z</dcterms:created>
  <dcterms:modified xsi:type="dcterms:W3CDTF">2026-06-30T16:25:46.061Z</dcterms:modified>
</cp:coreProperties>
</file>

<file path=docProps/custom.xml><?xml version="1.0" encoding="utf-8"?>
<Properties xmlns="http://schemas.openxmlformats.org/officeDocument/2006/custom-properties" xmlns:vt="http://schemas.openxmlformats.org/officeDocument/2006/docPropsVTypes"/>
</file>