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Déclaration d'écoconception de MCR — Meeting Capture &amp; Report</w:t>
      </w:r>
    </w:p>
    <w:p>
      <w:r>
        <w:t>Date de réalisation : 2026-07-10</w:t>
      </w:r>
    </w:p>
    <w:p>
      <w:pPr>
        <w:pStyle w:val="Heading1"/>
      </w:pPr>
      <w:r>
        <w:t>Résumé</w:t>
      </w:r>
    </w:p>
    <w:p>
      <w:pPr>
        <w:pStyle w:val="Heading2"/>
      </w:pPr>
      <w:r>
        <w:t>Objectif</w:t>
      </w:r>
    </w:p>
    <w:p>
      <w:r>
        <w:t>Le service MCR — Meeting Capture &amp; Report s'inscrit dans une démarche d'écoconception visant à réduire ses impacts environnementaux. Cette déclaration a été rédigée le 2026-07-10, dans le cadre de la mise en œuvre du référentiel général d'écoconception des services numériques (RGESN, version 2024, Arcep/Arcom).</w:t>
      </w:r>
    </w:p>
    <w:p>
      <w:pPr>
        <w:pStyle w:val="Heading2"/>
      </w:pPr>
      <w:r>
        <w:t>Chemins critiques et unités fonctionnelles évalués</w:t>
      </w:r>
    </w:p>
    <w:p>
      <w:r>
        <w:rPr>
          <w:b/>
        </w:rPr>
        <w:t xml:space="preserve">Échantillons : </w:t>
      </w:r>
      <w:r>
        <w:t>Parcours critiques évalués : (1) import ou capture d'un audio de réunion, (2) transcription + diarisation, (3) génération d'un compte rendu par LLM, (4) consultation/édition/export du compte rendu (DOCX). Périmètre technique : mcr-frontend (Vue 3 + DSFR), mcr-gateway (FastAPI), mcr-core (FastAPI + worker Celery transcription/diarisation), mcr-generation (worker Celery LLM), mcr-capture-worker (bot Playwright).</w:t>
      </w:r>
    </w:p>
    <w:p>
      <w:r>
        <w:rPr>
          <w:b/>
        </w:rPr>
        <w:t xml:space="preserve">Entité qui évalue : </w:t>
      </w:r>
      <w:r>
        <w:t>Équipe MCR / Theodo (projet IA-Generative)</w:t>
      </w:r>
    </w:p>
    <w:p>
      <w:r>
        <w:rPr>
          <w:b/>
        </w:rPr>
        <w:t xml:space="preserve">Responsable de l'évaluation : </w:t>
      </w:r>
      <w:r>
        <w:t>Thomas Metzger</w:t>
      </w:r>
    </w:p>
    <w:p>
      <w:pPr>
        <w:pStyle w:val="Heading2"/>
      </w:pPr>
      <w:r>
        <w:t>Critères validés par le service numérique</w:t>
      </w:r>
    </w:p>
    <w:p>
      <w:r>
        <w:t>1.2, 1.6, 1.8, 1.9, 2.3, 2.5, 3.2, 3.3, 4.1, 4.2, 4.5, 4.6, 4.7, 4.8, 4.9, 4.10, 4.11, 4.13, 4.14, 5.6, 5.7, 6.4, 6.6, 7.3, 8.1, 8.2, 8.3, 8.4, 8.5, 8.6, 9.1, 9.7</w:t>
      </w:r>
    </w:p>
    <w:p>
      <w:pPr>
        <w:pStyle w:val="Heading2"/>
      </w:pPr>
      <w:r>
        <w:t>Critères non validés par le service numérique</w:t>
      </w:r>
    </w:p>
    <w:p>
      <w:r>
        <w:t>1.1, 1.3, 1.4, 1.5, 1.7, 2.1, 2.2, 2.4, 2.6, 2.7, 2.8, 2.9, 2.10, 3.1, 3.6, 3.7, 4.3, 4.12, 4.15, 5.8, 6.1, 6.2, 6.5, 6.7, 7.1, 7.2, 8.7, 8.10</w:t>
      </w:r>
    </w:p>
    <w:p>
      <w:pPr>
        <w:pStyle w:val="Heading2"/>
      </w:pPr>
      <w:r>
        <w:t>Critères non applicables</w:t>
      </w:r>
    </w:p>
    <w:p>
      <w:r>
        <w:t>1.10, 3.4, 3.5, 4.4, 5.1, 5.2, 5.3, 5.4, 5.5, 7.4, 8.8, 9.2, 9.3, 9.4, 9.5, 9.6</w:t>
      </w:r>
    </w:p>
    <w:p>
      <w:pPr>
        <w:pStyle w:val="Heading2"/>
      </w:pPr>
      <w:r>
        <w:t>Critères restant à évaluer</w:t>
      </w:r>
    </w:p>
    <w:p>
      <w:r>
        <w:t>6.3, 8.9</w:t>
      </w:r>
    </w:p>
    <w:p>
      <w:pPr>
        <w:pStyle w:val="Heading1"/>
      </w:pPr>
      <w:r>
        <w:t>Détails du diagnostic avec le référentiel général de l'écoconception des services numériques</w:t>
      </w:r>
    </w:p>
    <w:p>
      <w:pPr>
        <w:pStyle w:val="Heading2"/>
      </w:pPr>
      <w:r>
        <w:t>1 Stratégie</w:t>
      </w:r>
    </w:p>
    <w:p>
      <w:pPr>
        <w:pStyle w:val="Heading3"/>
      </w:pPr>
      <w:r>
        <w:t>Le service numérique a-t-il été évalué favorablement en termes d’utilité en tenant compte de ses impacts environnementaux ?</w:t>
      </w:r>
    </w:p>
    <w:p>
      <w:r>
        <w:rPr>
          <w:i/>
          <w:sz w:val="18"/>
        </w:rPr>
        <w:t>Critère 1.1 — Non conforme (2026-07-10)</w:t>
      </w:r>
    </w:p>
    <w:p>
      <w:r>
        <w:t>Le service MCR n'a pas fait l'objet d'une étude formelle évaluant son utilité au regard de ses impacts environnementaux et sociaux (ODD, limites planétaires ou autre référentiel). L'utilité métier du service (assister la production de comptes rendus de réunion pour les agents publics) est établie, mais sans évaluation documentée de ses impacts environnementaux.</w:t>
      </w:r>
    </w:p>
    <w:p>
      <w:r>
        <w:rPr>
          <w:b/>
        </w:rPr>
        <w:t xml:space="preserve">Évolutions potentielles : </w:t>
      </w:r>
      <w:r>
        <w:t>Mener une étude d'utilité intégrant les impacts environnementaux et sociaux et la publier dans la déclaration d'écoconception.</w:t>
      </w:r>
    </w:p>
    <w:p>
      <w:pPr>
        <w:pStyle w:val="Heading3"/>
      </w:pPr>
      <w:r>
        <w:t>Le service numérique a-t-il défini ses cibles utilisatrices, les besoins métiers et les attentes réelles des utilisateurs-cibles ?</w:t>
      </w:r>
    </w:p>
    <w:p>
      <w:r>
        <w:rPr>
          <w:i/>
          <w:sz w:val="18"/>
        </w:rPr>
        <w:t>Critère 1.2 — Conforme (2026-07-10)</w:t>
      </w:r>
    </w:p>
    <w:p>
      <w:r>
        <w:t>Les cibles utilisatrices du service MCR (agents de l'administration publique produisant des comptes rendus de réunion) ainsi que leurs besoins métiers et attentes ont fait l'objet d'une analyse documentée (personas / recherche utilisateur). En cohérence, les fonctionnalités du service (import ou capture d'audio, transcription et diarisation, génération assistée de comptes rendus, édition et export) répondent à ces besoins identifiés.</w:t>
      </w:r>
    </w:p>
    <w:p>
      <w:r>
        <w:rPr>
          <w:b/>
        </w:rPr>
        <w:t xml:space="preserve">Évolutions potentielles : </w:t>
      </w:r>
      <w:r>
        <w:t>Publier la synthèse de l'analyse des cibles et besoins dans la déclaration d'écoconception.</w:t>
      </w:r>
    </w:p>
    <w:p>
      <w:pPr>
        <w:pStyle w:val="Heading3"/>
      </w:pPr>
      <w:r>
        <w:t>Le service numérique a-t-il au moins un référent identifié en écoconception numérique ?</w:t>
      </w:r>
    </w:p>
    <w:p>
      <w:r>
        <w:rPr>
          <w:i/>
          <w:sz w:val="18"/>
        </w:rPr>
        <w:t>Critère 1.3 — Non conforme (2026-07-10)</w:t>
      </w:r>
    </w:p>
    <w:p>
      <w:r>
        <w:t>Aucun référent en écoconception numérique n'est identifié pour le service à ce jour, ni dans la déclaration d'écoconception ni dans un autre document public.</w:t>
      </w:r>
    </w:p>
    <w:p>
      <w:r>
        <w:rPr>
          <w:b/>
        </w:rPr>
        <w:t xml:space="preserve">Évolutions potentielles : </w:t>
      </w:r>
      <w:r>
        <w:t>Désigner un référent écoconception (contact nominal ou générique) et le publier dans un document accessible.</w:t>
      </w:r>
    </w:p>
    <w:p>
      <w:pPr>
        <w:pStyle w:val="Heading3"/>
      </w:pPr>
      <w:r>
        <w:t>Le service numérique réalise-t-il régulièrement des revues pour s’assurer du respect de sa démarche d’écoconception ?</w:t>
      </w:r>
    </w:p>
    <w:p>
      <w:r>
        <w:rPr>
          <w:i/>
          <w:sz w:val="18"/>
        </w:rPr>
        <w:t>Critère 1.4 — Non conforme (2026-07-10)</w:t>
      </w:r>
    </w:p>
    <w:p>
      <w:r>
        <w:t>Le service dispose d'une intégration continue exigeante (formatage et lint ruff, typage mypy --strict, tests, couverture, détection de secrets gitleaks, hygiène des dépendances deptry) et de revues de code obligatoires (CODEOWNERS, gabarit de PR, blocage des PR échouant en CI). En revanche, aucune revue ou autoévaluation d'écoconception régulière appliquant le RGESN, ni aucun audit de performance / test de charge récurrent, n'est réalisé.</w:t>
      </w:r>
    </w:p>
    <w:p>
      <w:r>
        <w:rPr>
          <w:b/>
        </w:rPr>
        <w:t xml:space="preserve">Évolutions potentielles : </w:t>
      </w:r>
      <w:r>
        <w:t>Mettre en place une autoévaluation RGESN périodique et des audits de performance / tests de charge réguliers.</w:t>
      </w:r>
    </w:p>
    <w:p>
      <w:pPr>
        <w:pStyle w:val="Heading3"/>
      </w:pPr>
      <w:r>
        <w:t>Le service numérique s’est-il fixé des objectifs en matière de réduction ou de limitation de ses propres impacts environnementaux ?</w:t>
      </w:r>
    </w:p>
    <w:p>
      <w:r>
        <w:rPr>
          <w:i/>
          <w:sz w:val="18"/>
        </w:rPr>
        <w:t>Critère 1.5 — Non conforme (2026-07-10)</w:t>
      </w:r>
    </w:p>
    <w:p>
      <w:r>
        <w:t>L'empreinte environnementale du service n'a pas été évaluée (aucune ACV ni mesure d'impact carbone, énergie, ressources abiotiques ou eau) et aucun objectif de réduction ou de limitation des impacts n'a été fixé ni suivi.</w:t>
      </w:r>
    </w:p>
    <w:p>
      <w:r>
        <w:rPr>
          <w:b/>
        </w:rPr>
        <w:t xml:space="preserve">Évolutions potentielles : </w:t>
      </w:r>
      <w:r>
        <w:t>Évaluer l'empreinte environnementale du service (méthodologie reconnue, idéalement ACV multicritère), fixer des objectifs de réduction et en assurer le suivi dans un document public.</w:t>
      </w:r>
    </w:p>
    <w:p>
      <w:pPr>
        <w:pStyle w:val="Heading3"/>
      </w:pPr>
      <w:r>
        <w:t>Le service numérique collecte-t-il la donnée de façon responsable et raisonnée ?</w:t>
      </w:r>
    </w:p>
    <w:p>
      <w:r>
        <w:rPr>
          <w:i/>
          <w:sz w:val="18"/>
        </w:rPr>
        <w:t>Critère 1.6 — Conforme (2026-07-10)</w:t>
      </w:r>
    </w:p>
    <w:p>
      <w:r>
        <w:t>Le service collecte des données afin de répondre au besoin de production de comptes rendus de réunion (utilisateurs Keycloak, réunions, audios, transcriptions avec identification des locuteurs, comptes rendus). La collecte est encadrée : un écran de consentement des participants précède tout enregistrement (renvoi aux CGU MIrAI) et la conservation des audios fait l'objet d'une documentation RGPD. Le service ne collecte pas de métadonnées à des fins publicitaires ou de profilage. À noter, en toute transparence, un écart entre la durée de conservation documentée et la durée effectivement appliquée (rétention réelle plus longue que celle annoncée), ainsi que la configuration Sentry SEND_DEFAULT_PII=True par défaut, à corriger.</w:t>
      </w:r>
    </w:p>
    <w:p>
      <w:r>
        <w:rPr>
          <w:b/>
        </w:rPr>
        <w:t xml:space="preserve">Évolutions potentielles : </w:t>
      </w:r>
      <w:r>
        <w:t>Aligner la rétention effective des données sur la durée documentée dans la déclaration RGPD (voir critères 5.8 et 7.2) et statuer sur SEND_DEFAULT_PII.</w:t>
      </w:r>
    </w:p>
    <w:p>
      <w:pPr>
        <w:pStyle w:val="Heading3"/>
      </w:pPr>
      <w:r>
        <w:t>Le service numérique a-t-il recours à un niveau de chiffrement adapté à ses besoins ?</w:t>
      </w:r>
    </w:p>
    <w:p>
      <w:r>
        <w:rPr>
          <w:i/>
          <w:sz w:val="18"/>
        </w:rPr>
        <w:t>Critère 1.7 — Non conforme (2026-07-10)</w:t>
      </w:r>
    </w:p>
    <w:p>
      <w:r>
        <w:t>Le service repose sur des mécanismes de chiffrement (TLS en transit terminé par l'ingress de la plateforme, SMTP en SSL, URLs S3 pré-signées, jetons d'authentification Keycloak). Toutefois, la pertinence de ces choix cryptographiques n'est pas documentée au regard des risques de sécurité informatique du service et de la minimisation de l'empreinte environnementale associée.</w:t>
      </w:r>
    </w:p>
    <w:p>
      <w:r>
        <w:rPr>
          <w:b/>
        </w:rPr>
        <w:t xml:space="preserve">Évolutions potentielles : </w:t>
      </w:r>
      <w:r>
        <w:t>Documenter les choix cryptographiques (analyse des risques de sécurité + empreinte environnementale) dans la déclaration.</w:t>
      </w:r>
    </w:p>
    <w:p>
      <w:pPr>
        <w:pStyle w:val="Heading3"/>
      </w:pPr>
      <w:r>
        <w:t>Le service numérique a-t-il mis en place des efforts d’open source ?</w:t>
      </w:r>
    </w:p>
    <w:p>
      <w:r>
        <w:rPr>
          <w:i/>
          <w:sz w:val="18"/>
        </w:rPr>
        <w:t>Critère 1.8 — Conforme (2026-07-10)</w:t>
      </w:r>
    </w:p>
    <w:p>
      <w:r>
        <w:t>Le service MCR publie l'intégralité de son code source en logiciel libre sous licence Apache 2.0 (fichier LICENSE), sur le dépôt public GitHub IA-Generative/mcr (organisation gouvernementale française de l'IA générative). La contribution est ouverte (fork + pull request, gabarits d'issues, CONTRIBUTING.md, politique de sécurité SECURITY.md), ce qui favorise l'ouverture et le partage des ressources.</w:t>
      </w:r>
    </w:p>
    <w:p>
      <w:r>
        <w:rPr>
          <w:b/>
        </w:rPr>
        <w:t xml:space="preserve">Évolutions potentielles : </w:t>
      </w:r>
      <w:r>
        <w:t>Publier une documentation d'architecture et un guide de réutilisation pour amplifier l'effort d'open source.</w:t>
      </w:r>
    </w:p>
    <w:p>
      <w:pPr>
        <w:pStyle w:val="Heading3"/>
      </w:pPr>
      <w:r>
        <w:t>Le service numérique a-t-il été conçu avec des technologies standard interopérables plutôt que des technologies spécifiques et fermées ?</w:t>
      </w:r>
    </w:p>
    <w:p>
      <w:r>
        <w:rPr>
          <w:i/>
          <w:sz w:val="18"/>
        </w:rPr>
        <w:t>Critère 1.9 — Conforme (2026-07-10)</w:t>
      </w:r>
    </w:p>
    <w:p>
      <w:r>
        <w:t>Le service est une application web (SPA Vue 3) accessible via une interface unique dans tout navigateur moderne, sur la même origine que l'API (parité de production). Il s'appuie sur des technologies standard et interopérables (HTTP/REST, HTML/CSS/JS standard, système de design de l'État DSFR, API REST documentée via OpenAPI/Swagger) plutôt que sur des technologies spécifiques et fermées. Aucune application native n'est requise.</w:t>
      </w:r>
    </w:p>
    <w:p>
      <w:r>
        <w:rPr>
          <w:b/>
        </w:rPr>
        <w:t xml:space="preserve">Évolutions potentielles : </w:t>
      </w:r>
      <w:r>
        <w:t>Documenter explicitement le choix d'une Web App interopérable dans la déclaration.</w:t>
      </w:r>
    </w:p>
    <w:p>
      <w:pPr>
        <w:pStyle w:val="Heading3"/>
      </w:pPr>
      <w:r>
        <w:t>Le service numérique repose-t-il sur des API documentées et ouvertes pour interagir avec le matériel ?</w:t>
      </w:r>
    </w:p>
    <w:p>
      <w:r>
        <w:rPr>
          <w:i/>
          <w:sz w:val="18"/>
        </w:rPr>
        <w:t>Critère 1.10 — Non applicable (2026-07-10)</w:t>
      </w:r>
    </w:p>
    <w:p>
      <w:r>
        <w:t>Critère non applicable : le service ne repose pas sur un objet connecté ni sur un périphérique matériel propriétaire. La capture audio utilise des API standard du navigateur (micro) et un bot Playwright s'appuyant sur des plateformes de visioconférence tierces ; aucun matériel spécifique n'est fourni avec le service (cible : « N/A si le service numérique ne repose pas sur un objet connecté ou un périphérique matériel »).</w:t>
      </w:r>
    </w:p>
    <w:p>
      <w:pPr>
        <w:pStyle w:val="Heading2"/>
      </w:pPr>
      <w:r>
        <w:t>2 Spécifications</w:t>
      </w:r>
    </w:p>
    <w:p>
      <w:pPr>
        <w:pStyle w:val="Heading3"/>
      </w:pPr>
      <w:r>
        <w:t>Le service numérique a-t-il défini la liste des profils de matériels que les utilisateurs vont pouvoir employer pour y accéder ?</w:t>
      </w:r>
    </w:p>
    <w:p>
      <w:r>
        <w:rPr>
          <w:i/>
          <w:sz w:val="18"/>
        </w:rPr>
        <w:t>Critère 2.1 — Non conforme (2026-07-10)</w:t>
      </w:r>
    </w:p>
    <w:p>
      <w:r>
        <w:t>Un profil de matériels supportés est connu de l'équipe de façon interne, mais il n'est pas publié dans la déclaration d'écoconception et ne fait l'objet d'aucune vérification objective (tests sur configurations matérielles cibles). Le profil matériel minimum et ses évolutions à venir ne sont donc pas formellement établis ni affichés.</w:t>
      </w:r>
    </w:p>
    <w:p>
      <w:r>
        <w:rPr>
          <w:b/>
        </w:rPr>
        <w:t xml:space="preserve">Évolutions potentielles : </w:t>
      </w:r>
      <w:r>
        <w:t>Formaliser, vérifier et publier le profil matériel minimum (processeur, mémoire) en privilégiant les équipements les plus anciens possibles.</w:t>
      </w:r>
    </w:p>
    <w:p>
      <w:pPr>
        <w:pStyle w:val="Heading3"/>
      </w:pPr>
      <w:r>
        <w:t>Le service numérique est-il utilisable sur d’anciens modèles de terminaux ?</w:t>
      </w:r>
    </w:p>
    <w:p>
      <w:r>
        <w:rPr>
          <w:i/>
          <w:sz w:val="18"/>
        </w:rPr>
        <w:t>Critère 2.2 — Non conforme (2026-07-10)</w:t>
      </w:r>
    </w:p>
    <w:p>
      <w:r>
        <w:t>Le service fonctionne sur navigateur et son interface, essentiellement textuelle, reste légère. Toutefois, les fonctionnalités critiques n'ont pas été testées sur un terminal ancien (PC équipé d'un microprocesseur mis sur le marché il y a 10 ans ou plus) et les caractéristiques d'un tel équipement ne sont pas documentées. Le principal point d'attention identifié est le transcodage vidéo→audio côté client (ffmpeg WebAssembly multi-thread, SharedArrayBuffer), non testé sur matériel ancien.</w:t>
      </w:r>
    </w:p>
    <w:p>
      <w:r>
        <w:rPr>
          <w:b/>
        </w:rPr>
        <w:t xml:space="preserve">Évolutions potentielles : </w:t>
      </w:r>
      <w:r>
        <w:t>Tester les fonctionnalités critiques (dont le transcodage ffmpeg) sur un terminal ancien et documenter les caractéristiques compatibles.</w:t>
      </w:r>
    </w:p>
    <w:p>
      <w:pPr>
        <w:pStyle w:val="Heading3"/>
      </w:pPr>
      <w:r>
        <w:t>Le service numérique est-il utilisable via une connexion bas débit ou hors connexion ?</w:t>
      </w:r>
    </w:p>
    <w:p>
      <w:r>
        <w:rPr>
          <w:i/>
          <w:sz w:val="18"/>
        </w:rPr>
        <w:t>Critère 2.3 — Conforme (2026-07-10)</w:t>
      </w:r>
    </w:p>
    <w:p>
      <w:r>
        <w:t>L'utilisabilité en connexion bas débit fait partie des points de contrôle de l'équipe et est testée. Une partie des fonctionnalités reste par ailleurs disponible hors connexion (résilience des enregistrements côté client). Le débit minimum n'est en revanche pas encore présenté dans la déclaration d'écoconception.</w:t>
      </w:r>
    </w:p>
    <w:p>
      <w:r>
        <w:rPr>
          <w:b/>
        </w:rPr>
        <w:t xml:space="preserve">Évolutions potentielles : </w:t>
      </w:r>
      <w:r>
        <w:t>Documenter le débit minimum supporté et le périmètre exact des fonctionnalités disponibles hors connexion dans la déclaration.</w:t>
      </w:r>
    </w:p>
    <w:p>
      <w:pPr>
        <w:pStyle w:val="Heading3"/>
      </w:pPr>
      <w:r>
        <w:t>Le service numérique est-il utilisable sur d’anciennes versions de système d’exploitation et de navigateurs web ?</w:t>
      </w:r>
    </w:p>
    <w:p>
      <w:r>
        <w:rPr>
          <w:i/>
          <w:sz w:val="18"/>
        </w:rPr>
        <w:t>Critère 2.4 — Non conforme (2026-07-10)</w:t>
      </w:r>
    </w:p>
    <w:p>
      <w:r>
        <w:t>Le service s'appuie sur SharedArrayBuffer et les en-têtes COOP/COEP (isolation cross-origin) pour le transcodage côté client. Les versions minimales des principaux navigateurs supportés ne sont pas définies, testées ni publiées, et le support d'une version datée d'au moins deux ans n'est pas garanti.</w:t>
      </w:r>
    </w:p>
    <w:p>
      <w:r>
        <w:rPr>
          <w:b/>
        </w:rPr>
        <w:t xml:space="preserve">Évolutions potentielles : </w:t>
      </w:r>
      <w:r>
        <w:t>Définir, tester et publier les versions minimales des principaux navigateurs (au moins deux ans), en indiquant les causes d'incompatibilité éventuelles.</w:t>
      </w:r>
    </w:p>
    <w:p>
      <w:pPr>
        <w:pStyle w:val="Heading3"/>
      </w:pPr>
      <w:r>
        <w:t>Le service numérique s’adapte-t-il à différents types de terminaux d’affichage ?</w:t>
      </w:r>
    </w:p>
    <w:p>
      <w:r>
        <w:rPr>
          <w:i/>
          <w:sz w:val="18"/>
        </w:rPr>
        <w:t>Critère 2.5 — Conforme (2026-07-10)</w:t>
      </w:r>
    </w:p>
    <w:p>
      <w:r>
        <w:t>L'interface repose sur le système de design de l'État (DSFR), responsive par défaut, complété par des utilitaires responsive Tailwind. La balise viewport est présente (width=device-width). La navigation par pagination et les composants DSFR sont accessibles au clavier comme au tactile. Le service s'adapte donc dynamiquement à différents terminaux d'affichage (« responsive web design »).</w:t>
      </w:r>
    </w:p>
    <w:p>
      <w:r>
        <w:rPr>
          <w:b/>
        </w:rPr>
        <w:t xml:space="preserve">Évolutions potentielles : </w:t>
      </w:r>
      <w:r>
        <w:t>Documenter les tests d'affichage aux gabarits 1200 px de large et 720 px de hauteur exigés par le critère.</w:t>
      </w:r>
    </w:p>
    <w:p>
      <w:pPr>
        <w:pStyle w:val="Heading3"/>
      </w:pPr>
      <w:r>
        <w:t>Le service numérique a-t-il été conçu avec une revue de conception et une revue de code comprenant parmi ses objectifs la réduction des impacts environnementaux de chaque fonctionnalité ?</w:t>
      </w:r>
    </w:p>
    <w:p>
      <w:r>
        <w:rPr>
          <w:i/>
          <w:sz w:val="18"/>
        </w:rPr>
        <w:t>Critère 2.6 — Non conforme (2026-07-10)</w:t>
      </w:r>
    </w:p>
    <w:p>
      <w:r>
        <w:t>Le service met en œuvre une revue de code systématique (CODEOWNERS avec review obligatoire, gabarit de PR, blocage automatique des PR échouant en CI). En revanche, ces revues de conception et de code n'intègrent pas explicitement la réduction des impacts environnementaux par fonctionnalité (pas d'arbre des conséquences environnementales).</w:t>
      </w:r>
    </w:p>
    <w:p>
      <w:r>
        <w:rPr>
          <w:b/>
        </w:rPr>
        <w:t xml:space="preserve">Évolutions potentielles : </w:t>
      </w:r>
      <w:r>
        <w:t>Ajouter un critère d'impact environnemental aux revues de conception et de code, et le référencer dans la déclaration.</w:t>
      </w:r>
    </w:p>
    <w:p>
      <w:pPr>
        <w:pStyle w:val="Heading3"/>
      </w:pPr>
      <w:r>
        <w:t>Le service numérique a-t-il prévu une stratégie de maintenance et de décommissionnement ?</w:t>
      </w:r>
    </w:p>
    <w:p>
      <w:r>
        <w:rPr>
          <w:i/>
          <w:sz w:val="18"/>
        </w:rPr>
        <w:t>Critère 2.7 — Non conforme (2026-07-10)</w:t>
      </w:r>
    </w:p>
    <w:p>
      <w:r>
        <w:t>La maintenance et le décommissionnement sont maîtrisés dans les faits (versionnement SemVer, déploiement continu, résorption progressive du code legacy suivie par un contrat import-linter, décommissionnement techniquement simple) mais ne font pas l'objet d'une stratégie documentée : ni liste des composants/environnements actifs avec dates de rappel, ni plan formalisé de gestion de la seconde vie ou fin de vie des données non personnelles et des ressources libérées.</w:t>
      </w:r>
    </w:p>
    <w:p>
      <w:r>
        <w:rPr>
          <w:b/>
        </w:rPr>
        <w:t xml:space="preserve">Évolutions potentielles : </w:t>
      </w:r>
      <w:r>
        <w:t>Formaliser dans la déclaration la stratégie de maintenance et de décommissionnement (l'effort est faible, les pratiques existant déjà).</w:t>
      </w:r>
    </w:p>
    <w:p>
      <w:pPr>
        <w:pStyle w:val="Heading3"/>
      </w:pPr>
      <w:r>
        <w:t>Le service numérique impose-t-il à ses fournisseurs de garantir une démarche de réduction de leurs impacts environnementaux ?</w:t>
      </w:r>
    </w:p>
    <w:p>
      <w:r>
        <w:rPr>
          <w:i/>
          <w:sz w:val="18"/>
        </w:rPr>
        <w:t>Critère 2.8 — Non conforme (2026-07-10)</w:t>
      </w:r>
    </w:p>
    <w:p>
      <w:r>
        <w:t>Le service fait appel à des fournisseurs extérieurs (plateforme d'hébergement DSO de l'État, hub LLM souverain du Ministère de l'Intérieur, passerelle IA gouvernementale de transcription/diarisation). Leurs caractéristiques environnementales ne sont pas prises en compte dans une politique d'achat ou de partenariat, ni documentées dans la déclaration.</w:t>
      </w:r>
    </w:p>
    <w:p>
      <w:r>
        <w:rPr>
          <w:b/>
        </w:rPr>
        <w:t xml:space="preserve">Évolutions potentielles : </w:t>
      </w:r>
      <w:r>
        <w:t>Intégrer des critères environnementaux à la sélection des fournisseurs (en cohérence avec le Guide pratique pour des achats numériques responsables) et les documenter.</w:t>
      </w:r>
    </w:p>
    <w:p>
      <w:pPr>
        <w:pStyle w:val="Heading3"/>
      </w:pPr>
      <w:r>
        <w:t>Le service numérique a-t-il pris en compte les impacts environnementaux des composants d’interface prêts à l’emploi utilisés ?</w:t>
      </w:r>
    </w:p>
    <w:p>
      <w:r>
        <w:rPr>
          <w:i/>
          <w:sz w:val="18"/>
        </w:rPr>
        <w:t>Critère 2.9 — Non conforme (2026-07-10)</w:t>
      </w:r>
    </w:p>
    <w:p>
      <w:r>
        <w:t>Le service utilise des composants d'interface prêts à l'emploi issus du DSFR (@gouvfr/dsfr, @gouvminint/vue-dsfr), système de design de l'État retenu au titre de la standardisation et de l'accessibilité, sans évaluation environnementale dédiée. Bien que le DSFR s'appuie sur des éléments HTML natifs et reste relativement sobre, la performance écologique des composants n'a pas été estimée ni documentée lors de leur choix.</w:t>
      </w:r>
    </w:p>
    <w:p>
      <w:r>
        <w:rPr>
          <w:b/>
        </w:rPr>
        <w:t xml:space="preserve">Évolutions potentielles : </w:t>
      </w:r>
      <w:r>
        <w:t>Documenter une estimation de la performance écologique des composants DSFR utilisés.</w:t>
      </w:r>
    </w:p>
    <w:p>
      <w:pPr>
        <w:pStyle w:val="Heading3"/>
      </w:pPr>
      <w:r>
        <w:t>Le service numérique a-t-il pris en compte les impacts environnementaux des services tiers utilisés lors de leur sélection ?</w:t>
      </w:r>
    </w:p>
    <w:p>
      <w:r>
        <w:rPr>
          <w:i/>
          <w:sz w:val="18"/>
        </w:rPr>
        <w:t>Critère 2.10 — Non conforme (2026-07-10)</w:t>
      </w:r>
    </w:p>
    <w:p>
      <w:r>
        <w:t>Le service repose sur plusieurs services tiers (Keycloak pour l'authentification, S3/Minio pour le stockage, hub LLM souverain pour la génération, passerelle de transcription/diarisation, SMTP, Sentry, Unleash, Langfuse, lookup COMU). Leur impact environnemental n'a pas été pris en compte à la sélection et ils ne sont pas listés dans la déclaration avec leur avancement au regard des critères RGESN applicables.</w:t>
      </w:r>
    </w:p>
    <w:p>
      <w:r>
        <w:rPr>
          <w:b/>
        </w:rPr>
        <w:t xml:space="preserve">Évolutions potentielles : </w:t>
      </w:r>
      <w:r>
        <w:t>Lister les services tiers et renseigner leur avancement au regard des critères RGESN applicables.</w:t>
      </w:r>
    </w:p>
    <w:p>
      <w:pPr>
        <w:pStyle w:val="Heading2"/>
      </w:pPr>
      <w:r>
        <w:t>3 Architecture</w:t>
      </w:r>
    </w:p>
    <w:p>
      <w:pPr>
        <w:pStyle w:val="Heading3"/>
      </w:pPr>
      <w:r>
        <w:t>Le service numérique repose-t-il sur une architecture, des ressources ou des composants conçus pour réduire leurs propres impacts environnementaux ?</w:t>
      </w:r>
    </w:p>
    <w:p>
      <w:r>
        <w:rPr>
          <w:i/>
          <w:sz w:val="18"/>
        </w:rPr>
        <w:t>Critère 3.1 — Non conforme (2026-07-10)</w:t>
      </w:r>
    </w:p>
    <w:p>
      <w:r>
        <w:t>L'architecture s'appuie sur des frameworks efficaces et éprouvés (FastAPI, Vue 3, Celery, SQLAlchemy). Toutefois, le choix de ces frameworks et composants n'a pas été effectué ni documenté au regard de leur empreinte environnementale et de principes d'écoconception.</w:t>
      </w:r>
    </w:p>
    <w:p>
      <w:r>
        <w:rPr>
          <w:b/>
        </w:rPr>
        <w:t xml:space="preserve">Évolutions potentielles : </w:t>
      </w:r>
      <w:r>
        <w:t>Documenter les choix d'architecture sous l'angle de l'écoconception.</w:t>
      </w:r>
    </w:p>
    <w:p>
      <w:pPr>
        <w:pStyle w:val="Heading3"/>
      </w:pPr>
      <w:r>
        <w:t>Le service numérique fonctionne-t-il sur une architecture pouvant adapter la quantité de ressources utilisées à la consommation du service ?</w:t>
      </w:r>
    </w:p>
    <w:p>
      <w:r>
        <w:rPr>
          <w:i/>
          <w:sz w:val="18"/>
        </w:rPr>
        <w:t>Critère 3.2 — Conforme (2026-07-10)</w:t>
      </w:r>
    </w:p>
    <w:p>
      <w:r>
        <w:t>L'architecture adapte une partie de ses ressources à la demande : les workers de capture, qui se connectent aux visioconférences, sont mis à l'échelle dynamiquement en fonction du nombre de réunions concurrentes. En revanche, la couche de transcription repose sur un pool de pods de taille fixe (PARALLEL_PODS_COUNT=14, worker_concurrency=1) et ne s'ajuste pas à la charge.</w:t>
      </w:r>
    </w:p>
    <w:p>
      <w:r>
        <w:rPr>
          <w:b/>
        </w:rPr>
        <w:t xml:space="preserve">Évolutions potentielles : </w:t>
      </w:r>
      <w:r>
        <w:t>Étendre l'adaptation dynamique des ressources à la couche de transcription et documenter les tests démontrant l'adéquation de la consommation aux besoins.</w:t>
      </w:r>
    </w:p>
    <w:p>
      <w:pPr>
        <w:pStyle w:val="Heading3"/>
      </w:pPr>
      <w:r>
        <w:t>Le service numérique est-il en mesure de supporter l’évolution technique des protocoles ?</w:t>
      </w:r>
    </w:p>
    <w:p>
      <w:r>
        <w:rPr>
          <w:i/>
          <w:sz w:val="18"/>
        </w:rPr>
        <w:t>Critère 3.3 — Conforme (2026-07-10)</w:t>
      </w:r>
    </w:p>
    <w:p>
      <w:r>
        <w:t>En production, le service est accessible en IPv6 (comme en IPv4), repose sur le protocole HTTPS et prend en charge la version la plus récente de TLS (TLS 1.3). Le choix de ces protocoles pérennes et adaptés aux fonctionnalités assure la longévité du service et prévient les risques d'obsolescence (la désactivation d'IPv6 observée dans le dépôt ne concerne que le resolver DNS de l'ingress de développement local).</w:t>
      </w:r>
    </w:p>
    <w:p>
      <w:r>
        <w:rPr>
          <w:b/>
        </w:rPr>
        <w:t xml:space="preserve">Évolutions potentielles : </w:t>
      </w:r>
      <w:r>
        <w:t>Documenter explicitement les protocoles supportés dans la déclaration d'écoconception.</w:t>
      </w:r>
    </w:p>
    <w:p>
      <w:pPr>
        <w:pStyle w:val="Heading3"/>
      </w:pPr>
      <w:r>
        <w:t>Le service numérique garantit-il la mise à disposition de mises à jour correctives pendant toute la durée de vie prévue des équipements et des logiciels liés au service ?</w:t>
      </w:r>
    </w:p>
    <w:p>
      <w:r>
        <w:rPr>
          <w:i/>
          <w:sz w:val="18"/>
        </w:rPr>
        <w:t>Critère 3.4 — Non applicable (2026-07-10)</w:t>
      </w:r>
    </w:p>
    <w:p>
      <w:r>
        <w:t>Critère non applicable : MCR est un service numérique en ligne (SaaS) qui n'est pas commercialisé avec un terminal matériel associé (cible : « N/A pour les services numériques qui ne sont pas commercialisés avec un terminal associé »).</w:t>
      </w:r>
    </w:p>
    <w:p>
      <w:pPr>
        <w:pStyle w:val="Heading3"/>
      </w:pPr>
      <w:r>
        <w:t>Le service numérique propose-t-il d’installer des mises à jour correctives indépendamment des mises à jour évolutives de façon transparente ?</w:t>
      </w:r>
    </w:p>
    <w:p>
      <w:r>
        <w:rPr>
          <w:i/>
          <w:sz w:val="18"/>
        </w:rPr>
        <w:t>Critère 3.5 — Non applicable (2026-07-10)</w:t>
      </w:r>
    </w:p>
    <w:p>
      <w:r>
        <w:t>Critère non applicable : le service est une application web déployée en continu côté serveur ; les utilisateurs n'installent pas de mises à jour et il n'existe pas de distinction entre mises à jour correctives et évolutives installables séparément côté utilisateur (cible : « N/A si le service numérique ne propose pas de mises à jour évolutives (non essentielles) » à installer).</w:t>
      </w:r>
    </w:p>
    <w:p>
      <w:pPr>
        <w:pStyle w:val="Heading3"/>
      </w:pPr>
      <w:r>
        <w:t>Le service numérique propose-t-il les mises à jour incrémentielles, afin de ne pas remplacer tout le code à chaque mise à jour ?</w:t>
      </w:r>
    </w:p>
    <w:p>
      <w:r>
        <w:rPr>
          <w:i/>
          <w:sz w:val="18"/>
        </w:rPr>
        <w:t>Critère 3.6 — Non conforme (2026-07-10)</w:t>
      </w:r>
    </w:p>
    <w:p>
      <w:r>
        <w:t>Le build Vite produit des ressources au contenu haché (cacheables). Cependant, l'absence de découpage de code (pas de manualChunks ni de lazy-loading des routes) rend le bundle JavaScript principal monolithique : une évolution du code invalide l'ensemble du bundle, sans mise à jour réellement incrémentielle côté client.</w:t>
      </w:r>
    </w:p>
    <w:p>
      <w:r>
        <w:rPr>
          <w:b/>
        </w:rPr>
        <w:t xml:space="preserve">Évolutions potentielles : </w:t>
      </w:r>
      <w:r>
        <w:t>Mettre en place le découpage de code par route et le chunking des dépendances pour favoriser des mises à jour incrémentielles.</w:t>
      </w:r>
    </w:p>
    <w:p>
      <w:pPr>
        <w:pStyle w:val="Heading3"/>
      </w:pPr>
      <w:r>
        <w:t>Le service numérique optimise-t-il la sollicitation des environnements de développement, de préproduction ou de test en fonction de ses besoins ?</w:t>
      </w:r>
    </w:p>
    <w:p>
      <w:r>
        <w:rPr>
          <w:i/>
          <w:sz w:val="18"/>
        </w:rPr>
        <w:t>Critère 3.7 — Non conforme (2026-07-10)</w:t>
      </w:r>
    </w:p>
    <w:p>
      <w:r>
        <w:t>Les environnements ne sont pas éteints sur les plages horaires inutilisées ni mutualisés. Un effort de rationalisation a néanmoins été mené récemment, réduisant le nombre d'environnements de cinq à trois (staging, production, et un environnement de test limité au build sans déploiement), ce qui diminue les ressources sollicitées.</w:t>
      </w:r>
    </w:p>
    <w:p>
      <w:r>
        <w:rPr>
          <w:b/>
        </w:rPr>
        <w:t xml:space="preserve">Évolutions potentielles : </w:t>
      </w:r>
      <w:r>
        <w:t>Éteindre les environnements non-productifs hors des plages d'utilisation (ou les mutualiser) et documenter les choix dans la déclaration.</w:t>
      </w:r>
    </w:p>
    <w:p>
      <w:pPr>
        <w:pStyle w:val="Heading2"/>
      </w:pPr>
      <w:r>
        <w:t>4 UX UI</w:t>
      </w:r>
    </w:p>
    <w:p>
      <w:pPr>
        <w:pStyle w:val="Heading3"/>
      </w:pPr>
      <w:r>
        <w:t>Le service numérique comporte-t-il uniquement des animations, vidéos et sons dont la lecture automatique est désactivée ?</w:t>
      </w:r>
    </w:p>
    <w:p>
      <w:r>
        <w:rPr>
          <w:i/>
          <w:sz w:val="18"/>
        </w:rPr>
        <w:t>Critère 4.1 — Conforme (2026-07-10)</w:t>
      </w:r>
    </w:p>
    <w:p>
      <w:r>
        <w:t>Le service ne comporte aucune lecture automatique. Le seul élément audio (lecture de l'enregistrement d'une réunion) utilise le contrôle natif &lt;audio controls&gt; sans attribut autoplay ; aucune balise vidéo, aucun carrousel ni défilement automatique. Les seules animations sont fonctionnelles (skeleton de chargement, spinner d'import) et non intrusives.</w:t>
      </w:r>
    </w:p>
    <w:p>
      <w:pPr>
        <w:pStyle w:val="Heading3"/>
      </w:pPr>
      <w:r>
        <w:t>Le service numérique affiche-t-il uniquement des contenus sans défilement infini ?</w:t>
      </w:r>
    </w:p>
    <w:p>
      <w:r>
        <w:rPr>
          <w:i/>
          <w:sz w:val="18"/>
        </w:rPr>
        <w:t>Critère 4.2 — Conforme (2026-07-10)</w:t>
      </w:r>
    </w:p>
    <w:p>
      <w:r>
        <w:t>Le service n'utilise pas de défilement infini. Les listes (tableau des réunions) reposent sur une pagination explicite (composant DsfrPagination), avec chargement à la demande proportionné au contexte. Aucun useInfiniteQuery/infinite-scroll n'est présent.</w:t>
      </w:r>
    </w:p>
    <w:p>
      <w:pPr>
        <w:pStyle w:val="Heading3"/>
      </w:pPr>
      <w:r>
        <w:t>Le service numérique optimise-t-il le parcours de navigation pour chaque fonctionnalité principale ?</w:t>
      </w:r>
    </w:p>
    <w:p>
      <w:r>
        <w:rPr>
          <w:i/>
          <w:sz w:val="18"/>
        </w:rPr>
        <w:t>Critère 4.3 — Non conforme (2026-07-10)</w:t>
      </w:r>
    </w:p>
    <w:p>
      <w:r>
        <w:t>Les parcours de navigation sont recentrés sur les fonctionnalités essentielles (import ou capture, transcription, génération, consultation/édition/export) par une priorisation produit. Toutefois, cette optimisation ne s'appuie pas sur des outils UX et des statistiques d'usage, et aucun indicateur technique dédié n'est mis en place pour assurer l'optimisation des parcours dans le temps.</w:t>
      </w:r>
    </w:p>
    <w:p>
      <w:r>
        <w:rPr>
          <w:b/>
        </w:rPr>
        <w:t xml:space="preserve">Évolutions potentielles : </w:t>
      </w:r>
      <w:r>
        <w:t>Mettre en place des statistiques d'usage UX et des indicateurs de suivi pour optimiser les parcours dans la durée.</w:t>
      </w:r>
    </w:p>
    <w:p>
      <w:pPr>
        <w:pStyle w:val="Heading3"/>
      </w:pPr>
      <w:r>
        <w:t>Le service numérique permet-il à l’utilisateur de décider de l’activation d’un service tiers ?</w:t>
      </w:r>
    </w:p>
    <w:p>
      <w:r>
        <w:rPr>
          <w:i/>
          <w:sz w:val="18"/>
        </w:rPr>
        <w:t>Critère 4.4 — Non applicable (2026-07-10)</w:t>
      </w:r>
    </w:p>
    <w:p>
      <w:r>
        <w:t>Critère non applicable : le service n'intègre pas de service tiers optionnel dont l'activation serait laissée à la discrétion de l'utilisateur (pas de widgets sociaux, publicités, cartes ou vidéos embarquées). Les services tiers présents (authentification, stockage, IA) sont essentiels au fonctionnement (cible : « N/A si le service ne repose pas sur un service tiers » activable par l'utilisateur).</w:t>
      </w:r>
    </w:p>
    <w:p>
      <w:pPr>
        <w:pStyle w:val="Heading3"/>
      </w:pPr>
      <w:r>
        <w:t>Le service numérique utilise-t-il majoritairement des composants fonctionnels natifs du système d’exploitation, du navigateur ou du langage utilisé ?</w:t>
      </w:r>
    </w:p>
    <w:p>
      <w:r>
        <w:rPr>
          <w:i/>
          <w:sz w:val="18"/>
        </w:rPr>
        <w:t>Critère 4.5 — Conforme (2026-07-10)</w:t>
      </w:r>
    </w:p>
    <w:p>
      <w:r>
        <w:t>L'interface s'appuie majoritairement sur des composants fonctionnels natifs du navigateur, via le rendu DOM standard de Vue et les composants DSFR construits sur des éléments HTML natifs (formulaires, boutons, lecteur &lt;audio&gt; natif). Le recours à des composants non natifs est limité et justifié fonctionnellement (éditeur riche TipTap pour l'édition de comptes rendus).</w:t>
      </w:r>
    </w:p>
    <w:p>
      <w:pPr>
        <w:pStyle w:val="Heading3"/>
      </w:pPr>
      <w:r>
        <w:t>Le service numérique utilise-t-il uniquement du contenu vidéo, audio et animé porteur d’informations ?</w:t>
      </w:r>
    </w:p>
    <w:p>
      <w:r>
        <w:rPr>
          <w:i/>
          <w:sz w:val="18"/>
        </w:rPr>
        <w:t>Critère 4.6 — Conforme (2026-07-10)</w:t>
      </w:r>
    </w:p>
    <w:p>
      <w:r>
        <w:t>Le service ne comporte aucun contenu vidéo, audio ou animé à but purement décoratif. Le seul contenu audio est l'enregistrement de la réunion (fonction critique du service) ; les animations sont exclusivement fonctionnelles (indicateurs de chargement). Tout contenu média sert donc une fonction critique ou apporte de l'information à l'utilisateur.</w:t>
      </w:r>
    </w:p>
    <w:p>
      <w:pPr>
        <w:pStyle w:val="Heading3"/>
      </w:pPr>
      <w:r>
        <w:t>Le service numérique opte-t-il pour les choix les plus sobres entre le texte, l’image, l’audio ou la vidéo, selon les besoins utilisateurs ?</w:t>
      </w:r>
    </w:p>
    <w:p>
      <w:r>
        <w:rPr>
          <w:i/>
          <w:sz w:val="18"/>
        </w:rPr>
        <w:t>Critère 4.7 — Conforme (2026-07-10)</w:t>
      </w:r>
    </w:p>
    <w:p>
      <w:r>
        <w:t>Le service privilégie le texte, choix le plus sobre : l'interface est essentiellement textuelle, les comptes rendus et transcriptions sont produits et exportés en texte/DOCX, l'iconographie se limite à des pictogrammes SVG vectoriels. Aucun recours superflu à l'image, l'audio ou la vidéo n'est fait ; l'audio se limite à la matière première (réunion) et n'est pas rediffusé comme contenu éditorial.</w:t>
      </w:r>
    </w:p>
    <w:p>
      <w:pPr>
        <w:pStyle w:val="Heading3"/>
      </w:pPr>
      <w:r>
        <w:t>Le service numérique limite-t-il le nombre des polices de caractères téléchargées ?</w:t>
      </w:r>
    </w:p>
    <w:p>
      <w:r>
        <w:rPr>
          <w:i/>
          <w:sz w:val="18"/>
        </w:rPr>
        <w:t>Critère 4.8 — Conforme (2026-07-10)</w:t>
      </w:r>
    </w:p>
    <w:p>
      <w:r>
        <w:t>Les polices proviennent du DSFR (famille Marianne pour l'UI, au format woff2, chargées à la demande via @font-face, chaque variante ~40 Ko). La famille Spectral fournie par le DSFR n'est pas utilisée par l'interface et n'est donc pas téléchargée. Le nombre de variantes effectivement chargées par écran reste faible et le poids par écran demeure limité.</w:t>
      </w:r>
    </w:p>
    <w:p>
      <w:r>
        <w:rPr>
          <w:b/>
        </w:rPr>
        <w:t xml:space="preserve">Évolutions potentielles : </w:t>
      </w:r>
      <w:r>
        <w:t>Vérifier par écran le nombre de variantes (≤ 4) et le poids (≤ 400 Ko) des polices, et précharger les variantes critiques.</w:t>
      </w:r>
    </w:p>
    <w:p>
      <w:pPr>
        <w:pStyle w:val="Heading3"/>
      </w:pPr>
      <w:r>
        <w:t>Le service numérique limite-t-il les requêtes serveur lors de la saisie utilisateur ?</w:t>
      </w:r>
    </w:p>
    <w:p>
      <w:r>
        <w:rPr>
          <w:i/>
          <w:sz w:val="18"/>
        </w:rPr>
        <w:t>Critère 4.9 — Conforme (2026-07-10)</w:t>
      </w:r>
    </w:p>
    <w:p>
      <w:r>
        <w:t>Le service ne propose pas d'autocomplétion déclenchant des requêtes serveur à la saisie. Les opérations de sauvegarde sont temporisées (useDebounceFn côté localStorage et throttling lodash côté serveur), ce qui limite les requêtes serveur lors de la saisie utilisateur.</w:t>
      </w:r>
    </w:p>
    <w:p>
      <w:pPr>
        <w:pStyle w:val="Heading3"/>
      </w:pPr>
      <w:r>
        <w:t>Le service numérique informe-t-il l’utilisateur du format de saisie attendu, en évitant les requêtes serveur inutiles pour la soumission d’un formulaire ?</w:t>
      </w:r>
    </w:p>
    <w:p>
      <w:r>
        <w:rPr>
          <w:i/>
          <w:sz w:val="18"/>
        </w:rPr>
        <w:t>Critère 4.10 — Conforme (2026-07-10)</w:t>
      </w:r>
    </w:p>
    <w:p>
      <w:r>
        <w:t>Les formulaires informent l'utilisateur des formats attendus et sont validés côté client avant soumission grâce à vee-validate + yup (schémas dédiés pour l'enregistrement de réunion, l'édition, le feedback, etc.), évitant les requêtes serveur inutiles.</w:t>
      </w:r>
    </w:p>
    <w:p>
      <w:pPr>
        <w:pStyle w:val="Heading3"/>
      </w:pPr>
      <w:r>
        <w:t>Le service numérique informe-t-il l’utilisateur, avant le transfert, des poids et formats de fichier attendus ?</w:t>
      </w:r>
    </w:p>
    <w:p>
      <w:r>
        <w:rPr>
          <w:i/>
          <w:sz w:val="18"/>
        </w:rPr>
        <w:t>Critère 4.11 — Conforme (2026-07-10)</w:t>
      </w:r>
    </w:p>
    <w:p>
      <w:r>
        <w:t>Avant le transfert, l'interface affiche les formats de fichiers acceptés (libellé ALLOWED_IMPORT_FORMATS et attribut accept sur le champ), et valide côté client le format ainsi qu'une limite de durée (4 h max) avec message d'erreur explicite. Une limite de taille est également appliquée côté nginx (50 Mo).</w:t>
      </w:r>
    </w:p>
    <w:p>
      <w:r>
        <w:rPr>
          <w:b/>
        </w:rPr>
        <w:t xml:space="preserve">Évolutions potentielles : </w:t>
      </w:r>
      <w:r>
        <w:t>Afficher explicitement la limite de poids de fichier à l'utilisateur en complément de la limite de durée.</w:t>
      </w:r>
    </w:p>
    <w:p>
      <w:pPr>
        <w:pStyle w:val="Heading3"/>
      </w:pPr>
      <w:r>
        <w:t>Le service numérique indique-t-il à l’utilisateur que l’utilisation d’une fonctionnalité a des impacts environnementaux importants ?</w:t>
      </w:r>
    </w:p>
    <w:p>
      <w:r>
        <w:rPr>
          <w:i/>
          <w:sz w:val="18"/>
        </w:rPr>
        <w:t>Critère 4.12 — Non conforme (2026-07-10)</w:t>
      </w:r>
    </w:p>
    <w:p>
      <w:r>
        <w:t>Le service comporte des fonctionnalités à impact environnemental significatif (transcription, diarisation, génération par LLM), mais n'affiche à l'utilisateur aucune information sur l'impact environnemental associé au déclenchement de ces fonctionnalités.</w:t>
      </w:r>
    </w:p>
    <w:p>
      <w:r>
        <w:rPr>
          <w:b/>
        </w:rPr>
        <w:t xml:space="preserve">Évolutions potentielles : </w:t>
      </w:r>
      <w:r>
        <w:t>Afficher une information sur l'impact des fonctionnalités coûteuses (transcription/génération), en s'appuyant sur les données de tokens/latence déjà collectées via Langfuse.</w:t>
      </w:r>
    </w:p>
    <w:p>
      <w:pPr>
        <w:pStyle w:val="Heading3"/>
      </w:pPr>
      <w:r>
        <w:t>Le service numérique limite-t-il le recours aux notifications, tout en laissant la possibilité à l’utilisateur de les désactiver ?</w:t>
      </w:r>
    </w:p>
    <w:p>
      <w:r>
        <w:rPr>
          <w:i/>
          <w:sz w:val="18"/>
        </w:rPr>
        <w:t>Critère 4.13 — Conforme (2026-07-10)</w:t>
      </w:r>
    </w:p>
    <w:p>
      <w:r>
        <w:t>Le service n'envoie aucune notification push ou navigateur (aucun usage de l'API Notification). Il n'affiche que des messages toast in-app transitoires (délai par défaut 10 s) en réponse aux actions de l'utilisateur, ce qui respecte le principe de sobriété en matière de notifications.</w:t>
      </w:r>
    </w:p>
    <w:p>
      <w:pPr>
        <w:pStyle w:val="Heading3"/>
      </w:pPr>
      <w:r>
        <w:t>Le service numérique évite-t-il le recours à des procédés manipulatoires dans son interface utilisateur ?</w:t>
      </w:r>
    </w:p>
    <w:p>
      <w:r>
        <w:rPr>
          <w:i/>
          <w:sz w:val="18"/>
        </w:rPr>
        <w:t>Critère 4.14 — Conforme (2026-07-10)</w:t>
      </w:r>
    </w:p>
    <w:p>
      <w:r>
        <w:t>L'interface, fondée sur le DSFR, ne recourt pas à des procédés manipulatoires (dark patterns). Le service met au contraire en avant le consentement explicite des participants avant enregistrement et n'emploie pas de mécanismes de pression, de consentement forcé ou d'options trompeuses.</w:t>
      </w:r>
    </w:p>
    <w:p>
      <w:r>
        <w:rPr>
          <w:b/>
        </w:rPr>
        <w:t xml:space="preserve">Évolutions potentielles : </w:t>
      </w:r>
      <w:r>
        <w:t>Mettre en place une évaluation régulière de l'interface pour détecter d'éventuels dark patterns (lignes directrices art. 25 du règlement 2022/2065).</w:t>
      </w:r>
    </w:p>
    <w:p>
      <w:pPr>
        <w:pStyle w:val="Heading3"/>
      </w:pPr>
      <w:r>
        <w:t>Le service numérique fournit-il à l’utilisateur un moyen de contrôle sur ses usages afin de suivre et de réduire les impacts environnementaux associés ?</w:t>
      </w:r>
    </w:p>
    <w:p>
      <w:r>
        <w:rPr>
          <w:i/>
          <w:sz w:val="18"/>
        </w:rPr>
        <w:t>Critère 4.15 — Non conforme (2026-07-10)</w:t>
      </w:r>
    </w:p>
    <w:p>
      <w:r>
        <w:t>Le service ne fournit pas à l'utilisateur d'information sur l'empreinte environnementale de son usage, ni de mode d'affichage/d'usage « sobriété énergétique ».</w:t>
      </w:r>
    </w:p>
    <w:p>
      <w:r>
        <w:rPr>
          <w:b/>
        </w:rPr>
        <w:t xml:space="preserve">Évolutions potentielles : </w:t>
      </w:r>
      <w:r>
        <w:t>Proposer un mode sobre et une information d'empreinte d'usage, en capitalisant sur les métriques Langfuse (tokens, latence) déjà disponibles.</w:t>
      </w:r>
    </w:p>
    <w:p>
      <w:pPr>
        <w:pStyle w:val="Heading2"/>
      </w:pPr>
      <w:r>
        <w:t>5 Contenus</w:t>
      </w:r>
    </w:p>
    <w:p>
      <w:pPr>
        <w:pStyle w:val="Heading3"/>
      </w:pPr>
      <w:r>
        <w:t>Le service numérique utilise-t-il un format de fichier adapté au contenu et au contexte de visualisation de chaque image ?</w:t>
      </w:r>
    </w:p>
    <w:p>
      <w:r>
        <w:rPr>
          <w:i/>
          <w:sz w:val="18"/>
        </w:rPr>
        <w:t>Critère 5.1 — Non applicable (2026-07-10)</w:t>
      </w:r>
    </w:p>
    <w:p>
      <w:r>
        <w:t>Critère non applicable : le service n'utilise pas d'images matricielles de contenu. Les seules images matricielles sont des icônes/favicons (PNG), et l'iconographie de l'interface est vectorielle (SVG, pictogrammes DSFR) (cible : « N/A si le service numérique n'utilise pas d'image matricielle »).</w:t>
      </w:r>
    </w:p>
    <w:p>
      <w:pPr>
        <w:pStyle w:val="Heading3"/>
      </w:pPr>
      <w:r>
        <w:t>Le service numérique propose-t-il des images dont le niveau de compression est adapté au contenu et au contexte de visualisation ?</w:t>
      </w:r>
    </w:p>
    <w:p>
      <w:r>
        <w:rPr>
          <w:i/>
          <w:sz w:val="18"/>
        </w:rPr>
        <w:t>Critère 5.2 — Non applicable (2026-07-10)</w:t>
      </w:r>
    </w:p>
    <w:p>
      <w:r>
        <w:t>Critère non applicable : le service n'utilise pas d'images matricielles de contenu susceptibles d'être compressées avec/sans perte (uniquement des icônes/favicons et des SVG vectoriels) (cible : « N/A si le service numérique n'utilise pas d'image matricielle »).</w:t>
      </w:r>
    </w:p>
    <w:p>
      <w:pPr>
        <w:pStyle w:val="Heading3"/>
      </w:pPr>
      <w:r>
        <w:t>Le service numérique utilise-t-il, pour chaque vidéo, une définition adaptée au contenu et au contexte de visualisation ?</w:t>
      </w:r>
    </w:p>
    <w:p>
      <w:r>
        <w:rPr>
          <w:i/>
          <w:sz w:val="18"/>
        </w:rPr>
        <w:t>Critère 5.3 — Non applicable (2026-07-10)</w:t>
      </w:r>
    </w:p>
    <w:p>
      <w:r>
        <w:t>Critère non applicable : le service ne diffuse aucun contenu vidéo. Les fichiers vidéo éventuellement importés par l'utilisateur sont convertis en audio côté client (ffmpeg WebAssembly) avant transfert et ne sont jamais stockés ni rediffusés en tant que vidéo. Aucune définition vidéo n'est donc servie par le service.</w:t>
      </w:r>
    </w:p>
    <w:p>
      <w:pPr>
        <w:pStyle w:val="Heading3"/>
      </w:pPr>
      <w:r>
        <w:t>Le service numérique propose-t-il des vidéos dont le mode de compression est efficace et adapté au contenu et au contexte de visualisation ?</w:t>
      </w:r>
    </w:p>
    <w:p>
      <w:r>
        <w:rPr>
          <w:i/>
          <w:sz w:val="18"/>
        </w:rPr>
        <w:t>Critère 5.4 — Non applicable (2026-07-10)</w:t>
      </w:r>
    </w:p>
    <w:p>
      <w:r>
        <w:t>Critère non applicable : le service ne propose aucun contenu vidéo à ses utilisateurs (les vidéos importées sont transcodées en audio côté client et non conservées) (cible : « N/A si le service numérique ne propose pas de vidéos »).</w:t>
      </w:r>
    </w:p>
    <w:p>
      <w:pPr>
        <w:pStyle w:val="Heading3"/>
      </w:pPr>
      <w:r>
        <w:t>Le service numérique propose-t-il un mode « écoute seule » pour ses vidéos ?</w:t>
      </w:r>
    </w:p>
    <w:p>
      <w:r>
        <w:rPr>
          <w:i/>
          <w:sz w:val="18"/>
        </w:rPr>
        <w:t>Critère 5.5 — Non applicable (2026-07-10)</w:t>
      </w:r>
    </w:p>
    <w:p>
      <w:r>
        <w:t>Critère non applicable : le service ne propose pas de contenu vidéo avec piste audio ; un mode « écoute seule » est donc sans objet (cible : « N/A si le service numérique ne propose pas de contenu vidéo avec piste audio »).</w:t>
      </w:r>
    </w:p>
    <w:p>
      <w:pPr>
        <w:pStyle w:val="Heading3"/>
      </w:pPr>
      <w:r>
        <w:t>Le service numérique propose-t-il des contenus audios dont le mode de compression est adapté au contenu et au contexte d’écoute ?</w:t>
      </w:r>
    </w:p>
    <w:p>
      <w:r>
        <w:rPr>
          <w:i/>
          <w:sz w:val="18"/>
        </w:rPr>
        <w:t>Critère 5.6 — Conforme (2026-07-10)</w:t>
      </w:r>
    </w:p>
    <w:p>
      <w:r>
        <w:t>L'audio des réunions enregistrées via le navigateur est capté au format WebM (codec Opus, efficace et figurant dans la liste des codecs recommandés) et échantillonné en 16 kHz mono pour la chaîne de traitement, ce qui minimise le poids et la consommation de calcul. À noter : les vidéos importées sont transcodées en MP3 côté client pour la transcription (codec moins efficace qu'Opus/AAC).</w:t>
      </w:r>
    </w:p>
    <w:p>
      <w:r>
        <w:rPr>
          <w:b/>
        </w:rPr>
        <w:t xml:space="preserve">Évolutions potentielles : </w:t>
      </w:r>
      <w:r>
        <w:t>Documenter formellement les codecs et l'encodage audio ; envisager Opus/AAC plutôt que MP3 pour le transcodage des imports.</w:t>
      </w:r>
    </w:p>
    <w:p>
      <w:pPr>
        <w:pStyle w:val="Heading3"/>
      </w:pPr>
      <w:r>
        <w:t>Le service numérique utilise-t-il un format de fichier adapté au contenu et au contexte d’utilisation pour chaque document ?</w:t>
      </w:r>
    </w:p>
    <w:p>
      <w:r>
        <w:rPr>
          <w:i/>
          <w:sz w:val="18"/>
        </w:rPr>
        <w:t>Critère 5.7 — Conforme (2026-07-10)</w:t>
      </w:r>
    </w:p>
    <w:p>
      <w:r>
        <w:t>Les documents produits par le service (comptes rendus, transcriptions) sont générés au format DOCX, format nativement compressé (archive ZIP de XML) et adapté à l'édition et au partage bureautique attendus par les cibles utilisatrices. Les imports sont restreints par validation de type (magic bytes).</w:t>
      </w:r>
    </w:p>
    <w:p>
      <w:r>
        <w:rPr>
          <w:b/>
        </w:rPr>
        <w:t xml:space="preserve">Évolutions potentielles : </w:t>
      </w:r>
      <w:r>
        <w:t>Documenter la stratégie de compression des documents dans la déclaration pour la rendre auditable.</w:t>
      </w:r>
    </w:p>
    <w:p>
      <w:pPr>
        <w:pStyle w:val="Heading3"/>
      </w:pPr>
      <w:r>
        <w:t>Le service numérique a-t-il une stratégie d’archivage et de suppression, automatique ou manuelle, des contenus obsolètes ou périmés ?</w:t>
      </w:r>
    </w:p>
    <w:p>
      <w:r>
        <w:rPr>
          <w:i/>
          <w:sz w:val="18"/>
        </w:rPr>
        <w:t>Critère 5.8 — Non conforme (2026-07-10)</w:t>
      </w:r>
    </w:p>
    <w:p>
      <w:r>
        <w:t>Aucune stratégie automatique d'archivage/suppression des contenus obsolètes n'est implémentée. La règle « 7 jours » (MAX_DELAY_TO_GET_AUDIO) bloque uniquement l'accès à l'audio ancien sans supprimer l'objet S3 ; une suppression automatique n'est évoquée qu'en commentaire d'une migration. Une règle de cycle de vie S3 (expiration 7 jours) n'est présente qu'en environnement local. La suppression des réunions/livrables est manuelle (soft delete via statut, sans purge planifiée).</w:t>
      </w:r>
    </w:p>
    <w:p>
      <w:r>
        <w:rPr>
          <w:b/>
        </w:rPr>
        <w:t xml:space="preserve">Évolutions potentielles : </w:t>
      </w:r>
      <w:r>
        <w:t>Mettre en place une politique de rétention effective (cycle de vie S3 en production, purge/archivage planifié) et suivre le taux d'occupation.</w:t>
      </w:r>
    </w:p>
    <w:p>
      <w:pPr>
        <w:pStyle w:val="Heading2"/>
      </w:pPr>
      <w:r>
        <w:t>6 Frontend</w:t>
      </w:r>
    </w:p>
    <w:p>
      <w:pPr>
        <w:pStyle w:val="Heading3"/>
      </w:pPr>
      <w:r>
        <w:t>Le service numérique s’astreint-il à un poids maximum et une limite de requête par écran ?</w:t>
      </w:r>
    </w:p>
    <w:p>
      <w:r>
        <w:rPr>
          <w:i/>
          <w:sz w:val="18"/>
        </w:rPr>
        <w:t>Critère 6.1 — Non conforme (2026-07-10)</w:t>
      </w:r>
    </w:p>
    <w:p>
      <w:r>
        <w:t>Aucun budget de poids maximum ni de nombre maximum de requêtes par écran n'est défini ni suivi. L'absence de découpage de code (routes importées statiquement, bundle monolithique) alourdit par ailleurs le premier chargement.</w:t>
      </w:r>
    </w:p>
    <w:p>
      <w:r>
        <w:rPr>
          <w:b/>
        </w:rPr>
        <w:t xml:space="preserve">Évolutions potentielles : </w:t>
      </w:r>
      <w:r>
        <w:t>Définir un budget de performance (poids et requêtes par écran) et le suivre en CI ; activer le code-splitting.</w:t>
      </w:r>
    </w:p>
    <w:p>
      <w:pPr>
        <w:pStyle w:val="Heading3"/>
      </w:pPr>
      <w:r>
        <w:t>Le service numérique utilise-t-il des mécanismes de mise en cache pour la totalité des contenus transférés dont il a le contrôle ?</w:t>
      </w:r>
    </w:p>
    <w:p>
      <w:r>
        <w:rPr>
          <w:i/>
          <w:sz w:val="18"/>
        </w:rPr>
        <w:t>Critère 6.2 — Non conforme (2026-07-10)</w:t>
      </w:r>
    </w:p>
    <w:p>
      <w:r>
        <w:t>Un cache applicatif côté client existe via TanStack Query (cache mémoire des réponses d'API, refetchOnWindowFocus désactivé) et IndexedDB pour la résilience des enregistrements. En revanche, le cache HTTP navigateur des ressources statiques n'est pas exploité : la configuration nginx ne pose pas d'en-têtes Cache-Control/expires sur les assets hachés (seul config.js est en no-cache), et aucune stratégie de cache frontend n'est documentée.</w:t>
      </w:r>
    </w:p>
    <w:p>
      <w:r>
        <w:rPr>
          <w:b/>
        </w:rPr>
        <w:t xml:space="preserve">Évolutions potentielles : </w:t>
      </w:r>
      <w:r>
        <w:t>Ajouter des en-têtes Cache-Control immutable sur les ressources hachées et documenter la stratégie de cache frontend (dont staleTime TanStack Query).</w:t>
      </w:r>
    </w:p>
    <w:p>
      <w:pPr>
        <w:pStyle w:val="Heading3"/>
      </w:pPr>
      <w:r>
        <w:t>Le service numérique a-t-il mis en place des techniques de compression pour les ressources transférées dont il a le contrôle ?</w:t>
      </w:r>
    </w:p>
    <w:p>
      <w:r>
        <w:rPr>
          <w:i/>
          <w:sz w:val="18"/>
        </w:rPr>
        <w:t>Critère 6.3 — À évaluer (2026-07-10)</w:t>
      </w:r>
    </w:p>
    <w:p>
      <w:r>
        <w:t>Aucun plugin de compression au build (Brotli/GZIP) n'est configuré côté Vite ; la compression, si elle existe, est appliquée au niveau de l'ingress/CDN de la plateforme (hors dépôt). Information non disponible côté équipe MCR.</w:t>
      </w:r>
    </w:p>
    <w:p>
      <w:pPr>
        <w:pStyle w:val="Heading3"/>
      </w:pPr>
      <w:r>
        <w:t>Le service numérique affiche-t-il majoritairement des images dont les dimensions d’origine correspondent aux dimensions du contexte d’affichage ?</w:t>
      </w:r>
    </w:p>
    <w:p>
      <w:r>
        <w:rPr>
          <w:i/>
          <w:sz w:val="18"/>
        </w:rPr>
        <w:t>Critère 6.4 — Conforme (2026-07-10)</w:t>
      </w:r>
    </w:p>
    <w:p>
      <w:r>
        <w:t>Les images affichées par le service sont majoritairement vectorielles (SVG, pictogrammes DSFR) et les rares images matricielles se limitent à des icônes/favicons dimensionnées à leur contexte d'affichage. Aucune image matricielle de contenu redimensionnée à la volée n'est servie.</w:t>
      </w:r>
    </w:p>
    <w:p>
      <w:pPr>
        <w:pStyle w:val="Heading3"/>
      </w:pPr>
      <w:r>
        <w:t>Le service numérique évite-t-il de déclencher le chargement de ressources et de contenus inutilisés pour chaque fonctionnalité ?</w:t>
      </w:r>
    </w:p>
    <w:p>
      <w:r>
        <w:rPr>
          <w:i/>
          <w:sz w:val="18"/>
        </w:rPr>
        <w:t>Critère 6.5 — Non conforme (2026-07-10)</w:t>
      </w:r>
    </w:p>
    <w:p>
      <w:r>
        <w:t>Le chargement de code de transcodage lourd (ffmpeg) est bien différé jusqu'à son usage effectif. En revanche, les composants de vue sont importés statiquement dans le routeur (pas de lazy-loading des routes ni de découpage de code) : le code de toutes les fonctionnalités est donc chargé d'emblée, y compris pour des écrans non visités.</w:t>
      </w:r>
    </w:p>
    <w:p>
      <w:r>
        <w:rPr>
          <w:b/>
        </w:rPr>
        <w:t xml:space="preserve">Évolutions potentielles : </w:t>
      </w:r>
      <w:r>
        <w:t>Mettre en place le lazy-loading des routes et l'élimination du code mort (knip est déjà présent) pour ne charger que les ressources utilisées.</w:t>
      </w:r>
    </w:p>
    <w:p>
      <w:pPr>
        <w:pStyle w:val="Heading3"/>
      </w:pPr>
      <w:r>
        <w:t>Le service numérique restreint-il l’usage des capteurs des terminaux utilisateurs au besoin du service ?</w:t>
      </w:r>
    </w:p>
    <w:p>
      <w:r>
        <w:rPr>
          <w:i/>
          <w:sz w:val="18"/>
        </w:rPr>
        <w:t>Critère 6.6 — Conforme (2026-07-10)</w:t>
      </w:r>
    </w:p>
    <w:p>
      <w:r>
        <w:t>Le seul capteur utilisé est le microphone, pour la capture audio. Son activation déclenche le mécanisme natif de consentement du navigateur, complété par un écran de consentement in-app préalable à l'enregistrement. Aucun autre capteur du terminal n'est sollicité.</w:t>
      </w:r>
    </w:p>
    <w:p>
      <w:pPr>
        <w:pStyle w:val="Heading3"/>
      </w:pPr>
      <w:r>
        <w:t>Le service numérique héberge-t-il toutes les ressources statiques transférées dont il est l’émetteur sur un même domaine ?</w:t>
      </w:r>
    </w:p>
    <w:p>
      <w:r>
        <w:rPr>
          <w:i/>
          <w:sz w:val="18"/>
        </w:rPr>
        <w:t>Critère 6.7 — Non conforme (2026-07-10)</w:t>
      </w:r>
    </w:p>
    <w:p>
      <w:r>
        <w:t>La SPA et l'API sont servies sur une même origine, ce qui est favorable. En revanche, le cœur ffmpeg (js/wasm/worker) est chargé au runtime depuis un CDN tiers (cdn.jsdelivr.net) plutôt qu'auto-hébergé sur le domaine du service. Par ailleurs, le support HTTP/2 ou HTTP/3 n'est pas confirmé (HTTP/1.1 en configuration interne, terminaison assurée par la plateforme).</w:t>
      </w:r>
    </w:p>
    <w:p>
      <w:r>
        <w:rPr>
          <w:b/>
        </w:rPr>
        <w:t xml:space="preserve">Évolutions potentielles : </w:t>
      </w:r>
      <w:r>
        <w:t>Auto-héberger le cœur ffmpeg sur le domaine du service (cohérent avec l'isolation COEP require-corp) et confirmer HTTP/2/3 en production.</w:t>
      </w:r>
    </w:p>
    <w:p>
      <w:pPr>
        <w:pStyle w:val="Heading2"/>
      </w:pPr>
      <w:r>
        <w:t>7 Backend</w:t>
      </w:r>
    </w:p>
    <w:p>
      <w:pPr>
        <w:pStyle w:val="Heading3"/>
      </w:pPr>
      <w:r>
        <w:t>Le service numérique a-t-il recours à un système de cache serveur pour les données les plus utilisées ?</w:t>
      </w:r>
    </w:p>
    <w:p>
      <w:r>
        <w:rPr>
          <w:i/>
          <w:sz w:val="18"/>
        </w:rPr>
        <w:t>Critère 7.1 — Non conforme (2026-07-10)</w:t>
      </w:r>
    </w:p>
    <w:p>
      <w:r>
        <w:t>Redis est utilisé uniquement comme broker et backend de résultats Celery, et comme stockage de jetons (avec TTL) ; il n'assure aucun cache serveur des données les plus utilisées. Les réponses d'API ne portent pas d'en-têtes de cache. Aucune stratégie de cache serveur n'est en place ni documentée.</w:t>
      </w:r>
    </w:p>
    <w:p>
      <w:r>
        <w:rPr>
          <w:b/>
        </w:rPr>
        <w:t xml:space="preserve">Évolutions potentielles : </w:t>
      </w:r>
      <w:r>
        <w:t>Mettre en cache serveur les données fréquemment lues et documenter la stratégie (expiration, rafraîchissement).</w:t>
      </w:r>
    </w:p>
    <w:p>
      <w:pPr>
        <w:pStyle w:val="Heading3"/>
      </w:pPr>
      <w:r>
        <w:t>Le service numérique met-il en place des durées de conservation sur les données et documents en vue de leur suppression ou archivage passé ce délai ?</w:t>
      </w:r>
    </w:p>
    <w:p>
      <w:r>
        <w:rPr>
          <w:i/>
          <w:sz w:val="18"/>
        </w:rPr>
        <w:t>Critère 7.2 — Non conforme (2026-07-10)</w:t>
      </w:r>
    </w:p>
    <w:p>
      <w:r>
        <w:t>Aucune durée de conservation effective avec suppression/archivage automatique n'est définie pour les données et documents (audios, transcriptions, comptes rendus). Les seuls TTL existants concernent des métadonnées techniques (résultats Celery : 1 h ; jetons Redis : 30 j) et non les contenus métier, qui s'accumulent dans S3.</w:t>
      </w:r>
    </w:p>
    <w:p>
      <w:r>
        <w:rPr>
          <w:b/>
        </w:rPr>
        <w:t xml:space="preserve">Évolutions potentielles : </w:t>
      </w:r>
      <w:r>
        <w:t>Définir des dates d'expiration et un mécanisme d'archivage/suppression des données au-delà de la durée de conservation, avec suivi du poids des stockages.</w:t>
      </w:r>
    </w:p>
    <w:p>
      <w:pPr>
        <w:pStyle w:val="Heading3"/>
      </w:pPr>
      <w:r>
        <w:t>Le service numérique informe-t-il l’utilisateur d’un traitement en cours en arrière-plan ?</w:t>
      </w:r>
    </w:p>
    <w:p>
      <w:r>
        <w:rPr>
          <w:i/>
          <w:sz w:val="18"/>
        </w:rPr>
        <w:t>Critère 7.3 — Conforme (2026-07-10)</w:t>
      </w:r>
    </w:p>
    <w:p>
      <w:r>
        <w:t>Le service informe clairement l'utilisateur des traitements en arrière-plan : statuts par étape (CAPTURE_PENDING, TRANSCRIPTION_IN_PROGRESS, REPORT_PENDING, DONE, FAILED), polling toutes les 10 s tant que l'état n'est pas terminal, estimation du temps d'attente affichée (predicted_date_of_next_transition), et suivi Celery task_track_started. Les éléments déclencheurs sont désactivés pendant le traitement.</w:t>
      </w:r>
    </w:p>
    <w:p>
      <w:pPr>
        <w:pStyle w:val="Heading3"/>
      </w:pPr>
      <w:r>
        <w:t>Le service numérique s’appuie-t-il sur un mécanisme de consensus qui minimise sa consommation de ressources ?</w:t>
      </w:r>
    </w:p>
    <w:p>
      <w:r>
        <w:rPr>
          <w:i/>
          <w:sz w:val="18"/>
        </w:rPr>
        <w:t>Critère 7.4 — Non applicable (2026-07-10)</w:t>
      </w:r>
    </w:p>
    <w:p>
      <w:r>
        <w:t>Critère non applicable : le service ne repose sur aucun mécanisme de consensus ni blockchain (cible : « N/A si le service ne repose pas sur un mécanisme de consensus »). Vérifié : aucun code blockchain/preuve-de-travail dans les services.</w:t>
      </w:r>
    </w:p>
    <w:p>
      <w:pPr>
        <w:pStyle w:val="Heading2"/>
      </w:pPr>
      <w:r>
        <w:t>8 Hébergement</w:t>
      </w:r>
    </w:p>
    <w:p>
      <w:pPr>
        <w:pStyle w:val="Heading3"/>
      </w:pPr>
      <w:r>
        <w:t>Le service numérique utilise-t-il un hébergement ayant une démarche de réduction de son empreinte environnementale ?</w:t>
      </w:r>
    </w:p>
    <w:p>
      <w:r>
        <w:rPr>
          <w:i/>
          <w:sz w:val="18"/>
        </w:rPr>
        <w:t>Critère 8.1 — Conforme (2026-07-10)</w:t>
      </w:r>
    </w:p>
    <w:p>
      <w:r>
        <w:t>L'hébergement du service est assuré par la plateforme DSO de l'État (écosystème « cloud de confiance »). L'hébergeur publie une démarche de réduction de son empreinte environnementale, incluant la signature du Code de conduite européen sur les centres de données et des engagements sur ses indicateurs environnementaux.</w:t>
      </w:r>
    </w:p>
    <w:p>
      <w:r>
        <w:rPr>
          <w:b/>
        </w:rPr>
        <w:t xml:space="preserve">Évolutions potentielles : </w:t>
      </w:r>
      <w:r>
        <w:t>Citer dans la déclaration les liens/références précis des engagements environnementaux de l'hébergeur.</w:t>
      </w:r>
    </w:p>
    <w:p>
      <w:pPr>
        <w:pStyle w:val="Heading3"/>
      </w:pPr>
      <w:r>
        <w:t>Le service numérique utilise-t-il un hébergement qui fournit une politique de gestion durable des équipements ?</w:t>
      </w:r>
    </w:p>
    <w:p>
      <w:r>
        <w:rPr>
          <w:i/>
          <w:sz w:val="18"/>
        </w:rPr>
        <w:t>Critère 8.2 — Conforme (2026-07-10)</w:t>
      </w:r>
    </w:p>
    <w:p>
      <w:r>
        <w:t>L'hébergeur du service met en œuvre une politique de gestion durable des équipements informatiques (durée de vie du parc, politique d'achat durable, optimisation de la phase d'usage et de la fin de vie des équipements), documentée et accessible.</w:t>
      </w:r>
    </w:p>
    <w:p>
      <w:r>
        <w:rPr>
          <w:b/>
        </w:rPr>
        <w:t xml:space="preserve">Évolutions potentielles : </w:t>
      </w:r>
      <w:r>
        <w:t>Renvoyer dans la déclaration vers la politique de gestion durable des équipements de l'hébergeur.</w:t>
      </w:r>
    </w:p>
    <w:p>
      <w:pPr>
        <w:pStyle w:val="Heading3"/>
      </w:pPr>
      <w:r>
        <w:t>Le service numérique utilise-t-il un hébergement dont le PUE (Power Usage Effectiveness) est minimisé ?</w:t>
      </w:r>
    </w:p>
    <w:p>
      <w:r>
        <w:rPr>
          <w:i/>
          <w:sz w:val="18"/>
        </w:rPr>
        <w:t>Critère 8.3 — Conforme (2026-07-10)</w:t>
      </w:r>
    </w:p>
    <w:p>
      <w:r>
        <w:t>L'hébergeur du service (Scaleway) affiche un PUE (Power Usage Effectiveness) réel moyen de 1,37 en 2024, inférieur au seuil de 1,5 exigé par le critère et à la moyenne du secteur (~1,55). Son datacenter le plus performant (PAR-DC5) atteint un PUE de 1,25.</w:t>
      </w:r>
    </w:p>
    <w:p>
      <w:r>
        <w:rPr>
          <w:b/>
        </w:rPr>
        <w:t xml:space="preserve">Évolutions potentielles : </w:t>
      </w:r>
      <w:r>
        <w:t>Préciser dans la déclaration le PUE du datacenter Scaleway effectivement utilisé pour le service.</w:t>
      </w:r>
    </w:p>
    <w:p>
      <w:pPr>
        <w:pStyle w:val="Heading3"/>
      </w:pPr>
      <w:r>
        <w:t>Le service numérique utilise-t-il un hébergement dont son WUE (Water Usage Effectiveness) est minimisé ?</w:t>
      </w:r>
    </w:p>
    <w:p>
      <w:r>
        <w:rPr>
          <w:i/>
          <w:sz w:val="18"/>
        </w:rPr>
        <w:t>Critère 8.4 — Conforme (2026-07-10)</w:t>
      </w:r>
    </w:p>
    <w:p>
      <w:r>
        <w:t>L'hébergeur du service (Scaleway) affiche des WUE (Water Usage Effectiveness) très faibles, de l'ordre de 0,00002 à 0,014 L/kWh selon les datacenters, largement inférieurs à l'objectif de 0,4 L/kWh du critère. Scaleway fait par ailleurs le choix de ne pas recourir aux tours de refroidissement consommatrices d'eau potable et publie régulièrement ses WUE.</w:t>
      </w:r>
    </w:p>
    <w:p>
      <w:r>
        <w:rPr>
          <w:b/>
        </w:rPr>
        <w:t xml:space="preserve">Évolutions potentielles : </w:t>
      </w:r>
      <w:r>
        <w:t>Préciser dans la déclaration le WUE du datacenter Scaleway effectivement utilisé et la méthodologie de calcul.</w:t>
      </w:r>
    </w:p>
    <w:p>
      <w:pPr>
        <w:pStyle w:val="Heading3"/>
      </w:pPr>
      <w:r>
        <w:t>Le service numérique utilise-t-il un hébergement dont l’origine de consommation d’électricité est documentée et majoritairement d’origine renouvelable ?</w:t>
      </w:r>
    </w:p>
    <w:p>
      <w:r>
        <w:rPr>
          <w:i/>
          <w:sz w:val="18"/>
        </w:rPr>
        <w:t>Critère 8.5 — Conforme (2026-07-10)</w:t>
      </w:r>
    </w:p>
    <w:p>
      <w:r>
        <w:t>L'hébergeur du service est transparent sur son mix énergétique et documente une politique de recours majoritaire aux énergies renouvelables. Cette provenance de l'électricité consommée est accessible dans la documentation de l'hébergeur.</w:t>
      </w:r>
    </w:p>
    <w:p>
      <w:r>
        <w:rPr>
          <w:b/>
        </w:rPr>
        <w:t xml:space="preserve">Évolutions potentielles : </w:t>
      </w:r>
      <w:r>
        <w:t>Renseigner dans la déclaration les indicateurs précis (REF, part d'énergie renouvelable contractualisée).</w:t>
      </w:r>
    </w:p>
    <w:p>
      <w:pPr>
        <w:pStyle w:val="Heading3"/>
      </w:pPr>
      <w:r>
        <w:t>Le service numérique utilise-t-il un hébergement dont la localisation géographique est cohérente avec ses activités et qui minimise son empreinte environnementale ?</w:t>
      </w:r>
    </w:p>
    <w:p>
      <w:r>
        <w:rPr>
          <w:i/>
          <w:sz w:val="18"/>
        </w:rPr>
        <w:t>Critère 8.6 — Conforme (2026-07-10)</w:t>
      </w:r>
    </w:p>
    <w:p>
      <w:r>
        <w:t>L'hébergement du service est assuré par Scaleway, dont les datacenters sont situés en France (région parisienne). L'intensité carbone du mix électrique français est très inférieure au seuil de 100 gCO₂eq/kWh fixé par le critère, valeur conforme à la trajectoire SBTi requise par l'Accord de Paris. La localisation est en outre cohérente avec les utilisateurs du service, majoritairement en France.</w:t>
      </w:r>
    </w:p>
    <w:p>
      <w:r>
        <w:rPr>
          <w:b/>
        </w:rPr>
        <w:t xml:space="preserve">Évolutions potentielles : </w:t>
      </w:r>
      <w:r>
        <w:t>Préciser dans la déclaration la ou les villes d'hébergement et la source de l'intensité carbone retenue.</w:t>
      </w:r>
    </w:p>
    <w:p>
      <w:pPr>
        <w:pStyle w:val="Heading3"/>
      </w:pPr>
      <w:r>
        <w:t>Le service numérique utilise-t-il un hébergement qui traite efficacement la chaleur produite par les serveurs ?</w:t>
      </w:r>
    </w:p>
    <w:p>
      <w:r>
        <w:rPr>
          <w:i/>
          <w:sz w:val="18"/>
        </w:rPr>
        <w:t>Critère 8.7 — Non conforme (2026-07-10)</w:t>
      </w:r>
    </w:p>
    <w:p>
      <w:r>
        <w:t>L'hébergeur (Scaleway) refroidit majoritairement ses installations par free cooling/adiabatique sans dispositif documenté de récupération et de réutilisation de la chaleur fatale. La voie alternative de validation (PUE réel &lt; 1,3) n'est pas satisfaite par le PUE moyen (1,37) ; seul le datacenter PAR-DC5 (PUE 1,25) la satisferait, sous réserve que le service y soit hébergé.</w:t>
      </w:r>
    </w:p>
    <w:p>
      <w:r>
        <w:rPr>
          <w:b/>
        </w:rPr>
        <w:t xml:space="preserve">Évolutions potentielles : </w:t>
      </w:r>
      <w:r>
        <w:t>Confirmer le datacenter Scaleway d'hébergement : s'il s'agit de PAR-DC5 (PUE 1,25 &lt; 1,3), le critère est satisfait par la voie alternative.</w:t>
      </w:r>
    </w:p>
    <w:p>
      <w:pPr>
        <w:pStyle w:val="Heading3"/>
      </w:pPr>
      <w:r>
        <w:t>Le service numérique héberge-t-il de façon distincte les données « chaudes » et « froides » ?</w:t>
      </w:r>
    </w:p>
    <w:p>
      <w:r>
        <w:rPr>
          <w:i/>
          <w:sz w:val="18"/>
        </w:rPr>
        <w:t>Critère 8.8 — Non applicable (2026-07-10)</w:t>
      </w:r>
    </w:p>
    <w:p>
      <w:r>
        <w:t>Critère non applicable : le volume de données hébergé est inférieur à l'équivalent de 10 To. Les audios sont éphémères (accès limité à 7 jours) et les livrables sont des documents textuels de faible poids ; il n'y a pas de stock massif justifiant une séparation données chaudes/froides (cible : « N/A si le service numérique repose sur l'hébergement de moins de l'équivalent de 10 To de données »).</w:t>
      </w:r>
    </w:p>
    <w:p>
      <w:r>
        <w:rPr>
          <w:b/>
        </w:rPr>
        <w:t xml:space="preserve">Évolutions potentielles : </w:t>
      </w:r>
      <w:r>
        <w:t>Réévaluer ce critère si le volume de données venait à dépasser 10 To.</w:t>
      </w:r>
    </w:p>
    <w:p>
      <w:pPr>
        <w:pStyle w:val="Heading3"/>
      </w:pPr>
      <w:r>
        <w:t>Le service numérique duplique-t-il les données uniquement lorsque cela est nécessaire ?</w:t>
      </w:r>
    </w:p>
    <w:p>
      <w:r>
        <w:rPr>
          <w:i/>
          <w:sz w:val="18"/>
        </w:rPr>
        <w:t>Critère 8.9 — À évaluer (2026-07-10)</w:t>
      </w:r>
    </w:p>
    <w:p>
      <w:r>
        <w:t>Le niveau de duplication/réplication des données côté hébergement (Scaleway) n'est pas connu de l'équipe MCR. Information à obtenir auprès de l'hébergeur / de l'équipe plateforme.</w:t>
      </w:r>
    </w:p>
    <w:p>
      <w:pPr>
        <w:pStyle w:val="Heading3"/>
      </w:pPr>
      <w:r>
        <w:t>Le service numérique tient-il compte des contraintes externes pour minimiser l’impact environnemental des calculs et transferts de données asynchrones ?</w:t>
      </w:r>
    </w:p>
    <w:p>
      <w:r>
        <w:rPr>
          <w:i/>
          <w:sz w:val="18"/>
        </w:rPr>
        <w:t>Critère 8.10 — Non conforme (2026-07-10)</w:t>
      </w:r>
    </w:p>
    <w:p>
      <w:r>
        <w:t>Le service comporte des calculs et traitements asynchrones lourds (transcription, diarisation, génération LLM), déclenchés à la demande via Celery. Aucun mécanisme de décalage temporel de ces calculs en fonction de la disponibilité/carbonation de l'énergie électrique, de la charge du réseau ou de la disponibilité des ressources de calcul n'est mis en œuvre (aucune planification/beat, aucun lissage hors pointe).</w:t>
      </w:r>
    </w:p>
    <w:p>
      <w:r>
        <w:rPr>
          <w:b/>
        </w:rPr>
        <w:t xml:space="preserve">Évolutions potentielles : </w:t>
      </w:r>
      <w:r>
        <w:t>Étudier le décalage des traitements différables (par ex. génération non urgente) vers les périodes d'électricité moins carbonée.</w:t>
      </w:r>
    </w:p>
    <w:p>
      <w:pPr>
        <w:pStyle w:val="Heading2"/>
      </w:pPr>
      <w:r>
        <w:t>9 Algorithmie</w:t>
      </w:r>
    </w:p>
    <w:p>
      <w:pPr>
        <w:pStyle w:val="Heading3"/>
      </w:pPr>
      <w:r>
        <w:t>Le service numérique a-t-il interrogé la nécessité d’une phase d’entraînement pour éviter un usage non justifié et déraisonné ?</w:t>
      </w:r>
    </w:p>
    <w:p>
      <w:r>
        <w:rPr>
          <w:i/>
          <w:sz w:val="18"/>
        </w:rPr>
        <w:t>Critère 9.1 — Conforme (2026-07-10)</w:t>
      </w:r>
    </w:p>
    <w:p>
      <w:r>
        <w:t>Le service n'inclut aucune phase d'entraînement ni de fine-tuning : il réalise uniquement de l'inférence sur des modèles pré-entraînés (transcription faster-whisper large-v3-turbo, diarisation pyannote/speaker-diarization-3.1, génération via le LLM open-weights gptoss-120b du hub souverain). L'usage de l'apprentissage automatique est ainsi strictement justifié par les fonctionnalités (transcription, diarisation, synthèse) et évite tout entraînement non justifié.</w:t>
      </w:r>
    </w:p>
    <w:p>
      <w:r>
        <w:rPr>
          <w:b/>
        </w:rPr>
        <w:t xml:space="preserve">Évolutions potentielles : </w:t>
      </w:r>
      <w:r>
        <w:t>Formaliser dans la déclaration la justification du recours à ces modèles pré-entraînés au regard des besoins des cibles.</w:t>
      </w:r>
    </w:p>
    <w:p>
      <w:pPr>
        <w:pStyle w:val="Heading3"/>
      </w:pPr>
      <w:r>
        <w:t>Le service numérique utilise-t-il une phase d’apprentissage avec un niveau de complexité minimisé et proportionné à l’usage effectif du service ?</w:t>
      </w:r>
    </w:p>
    <w:p>
      <w:r>
        <w:rPr>
          <w:i/>
          <w:sz w:val="18"/>
        </w:rPr>
        <w:t>Critère 9.2 — Non applicable (2026-07-10)</w:t>
      </w:r>
    </w:p>
    <w:p>
      <w:r>
        <w:t>Critère non applicable : le service n'inclut pas de phase d'entraînement (uniquement de l'inférence sur des modèles pré-entraînés) (cible : « N/A si le service numérique n'inclut pas de phase d'entraînement »).</w:t>
      </w:r>
    </w:p>
    <w:p>
      <w:pPr>
        <w:pStyle w:val="Heading3"/>
      </w:pPr>
      <w:r>
        <w:t>Le service numérique a-t-il mis en place des mécanismes visant à limiter la quantité d’entraînement nécessaire à son fonctionnement ?</w:t>
      </w:r>
    </w:p>
    <w:p>
      <w:r>
        <w:rPr>
          <w:i/>
          <w:sz w:val="18"/>
        </w:rPr>
        <w:t>Critère 9.3 — Non applicable (2026-07-10)</w:t>
      </w:r>
    </w:p>
    <w:p>
      <w:r>
        <w:t>Critère non applicable : le service n'inclut pas de phase d'entraînement. Il s'appuie exclusivement sur des modèles pré-entraînés (Whisper, pyannote, LLM du hub souverain), ce qui rejoint l'esprit du critère (éviter d'entraîner soi-même) (cible : « N/A si le service numérique n'inclut pas de phase d'entraînement »).</w:t>
      </w:r>
    </w:p>
    <w:p>
      <w:pPr>
        <w:pStyle w:val="Heading3"/>
      </w:pPr>
      <w:r>
        <w:t>Le service numérique limite-il la quantité de données utilisées pour la phase d’apprentissage au strict nécessaire ?</w:t>
      </w:r>
    </w:p>
    <w:p>
      <w:r>
        <w:rPr>
          <w:i/>
          <w:sz w:val="18"/>
        </w:rPr>
        <w:t>Critère 9.4 — Non applicable (2026-07-10)</w:t>
      </w:r>
    </w:p>
    <w:p>
      <w:r>
        <w:t>Critère non applicable : le service n'inclut pas de phase d'entraînement et ne collecte donc pas de données d'apprentissage (cible : « N/A si le service numérique n'inclut pas de phase d'entraînement »).</w:t>
      </w:r>
    </w:p>
    <w:p>
      <w:pPr>
        <w:pStyle w:val="Heading3"/>
      </w:pPr>
      <w:r>
        <w:t>Le service numérique optimise-t-il l’occurrence de mise à jour et de réentraînement des modèles en fonction de ses besoins et des cibles utilisatrices ?</w:t>
      </w:r>
    </w:p>
    <w:p>
      <w:r>
        <w:rPr>
          <w:i/>
          <w:sz w:val="18"/>
        </w:rPr>
        <w:t>Critère 9.5 — Non applicable (2026-07-10)</w:t>
      </w:r>
    </w:p>
    <w:p>
      <w:r>
        <w:t>Critère non applicable : le service n'inclut pas de phase d'entraînement, donc pas de réentraînement ni de mise à jour de modèles (cible : « N/A si le service numérique n'inclut pas de phase d'entraînement »).</w:t>
      </w:r>
    </w:p>
    <w:p>
      <w:pPr>
        <w:pStyle w:val="Heading3"/>
      </w:pPr>
      <w:r>
        <w:t>Le service numérique utilise-t-il des techniques de compression pour les modèles utilisés lors de la phase d’entraînement ?</w:t>
      </w:r>
    </w:p>
    <w:p>
      <w:r>
        <w:rPr>
          <w:i/>
          <w:sz w:val="18"/>
        </w:rPr>
        <w:t>Critère 9.6 — Non applicable (2026-07-10)</w:t>
      </w:r>
    </w:p>
    <w:p>
      <w:r>
        <w:t>Critère non applicable : le service n'inclut pas de phase d'entraînement ; la compression de modèles d'entraînement est sans objet (cible : « N/A si le service numérique n'inclut pas de phase d'entraînement »).</w:t>
      </w:r>
    </w:p>
    <w:p>
      <w:pPr>
        <w:pStyle w:val="Heading3"/>
      </w:pPr>
      <w:r>
        <w:t>Le service numérique utilise-t-il une stratégie d’inférence optimisée en termes de consommation de ressources et des cibles utilisatrices ?</w:t>
      </w:r>
    </w:p>
    <w:p>
      <w:r>
        <w:rPr>
          <w:i/>
          <w:sz w:val="18"/>
        </w:rPr>
        <w:t>Critère 9.7 — Conforme (2026-07-10)</w:t>
      </w:r>
    </w:p>
    <w:p>
      <w:r>
        <w:t>La stratégie d'inférence est optimisée : les modèles (transcription/diarisation) sont chargés une seule fois par processus worker et partagés entre tâches, avec détection automatique GPU/CPU ; les appels LLM utilisent des sorties structurées (Instructor, mode JSON) évitant les re-prompts de format, une température 0 (déterminisme), un parallélisme borné (ThreadPool / sémaphore à 4) et un découpage en chunks. Les traitements sont sérialisés côté worker (concurrency=1) pour ne pas saturer les ressources. La consommation (tokens prompt/complétion, latence, nombre de chunks) est suivie via Langfuse pour ajuster la phase d'inférence.</w:t>
      </w:r>
    </w:p>
    <w:p>
      <w:r>
        <w:rPr>
          <w:b/>
        </w:rPr>
        <w:t xml:space="preserve">Évolutions potentielles : </w:t>
      </w:r>
      <w:r>
        <w:t>Ajouter des indicateurs de satisfaction utilisateur et un plafond explicite de tokens ; mettre en cache les générations récurrentes.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