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pipeline nava</w:t>
      </w:r>
    </w:p>
    <w:p>
      <w:pPr>
        <w:pStyle w:val="Heading2"/>
      </w:pPr>
      <w:r>
        <w:t>Objectif</w:t>
      </w:r>
    </w:p>
    <w:p>
      <w:r>
        <w:t>Ce mini rapport a pour objectif de vérifier le bon fonctionnement du pipeline NAVA, depuis la génération du contenu jusqu’à la structuration du document final.</w:t>
      </w:r>
    </w:p>
    <w:p>
      <w:pPr>
        <w:pStyle w:val="Heading2"/>
      </w:pPr>
      <w:r>
        <w:t>Résultat</w:t>
      </w:r>
    </w:p>
    <w:p>
      <w:r>
        <w:t>Le pipeline a permis de produire un contenu clair, organisé et exploitable, avec un titre principal et trois sections distinctes : objectif, résultat et conclusion.</w:t>
      </w:r>
    </w:p>
    <w:p>
      <w:pPr>
        <w:pStyle w:val="Heading2"/>
      </w:pPr>
      <w:r>
        <w:t>Conclusion</w:t>
      </w:r>
    </w:p>
    <w:p>
      <w:r>
        <w:t>Le test pipeline NAVA est concluant. La structure du rapport est cohérente et peut être utilisée comme base pour automatiser la création de documents professionnels.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