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TOKIO MARINE INSURANCE SINGAPORE LTD - MAS G1 Management Commentary</w:t>
      </w:r>
    </w:p>
    <w:p>
      <w:r>
        <w:t>Insurance fund: SIF | Period reviewed: 2022 to 2024 | Prepared: 10 August 2026</w:t>
      </w:r>
    </w:p>
    <w:p>
      <w:pPr>
        <w:pStyle w:val="Heading1"/>
      </w:pPr>
      <w:r>
        <w:t>Executive Summary</w:t>
      </w:r>
    </w:p>
    <w:p>
      <w:r>
        <w:t>The operating result of TOKIO MARINE INSURANCE SINGAPORE LTD.'s SIF fund showed a significant improvement from S$8.7m in 2022 to S$48.6m in 2023, followed by a slight decrease to S$46.7m in 2024. The underwriting result trend improved from S$23.2m in 2022 to S$28.3m in 2024, indicating a 19.5% increase. This improvement was primarily driven by a recovery in investment income, which normalized from -S$14.5m in 2022 to S$24.9m in 2023, and further to S$18.3m in 2024. Despite this recovery, the investment income in 2024 declined by 26.5%, suggesting volatility. The most material cost pressure in 2024 was represented by combined management and distribution expenses at 14.9% of earned premiums, up from 10.9% in 2023. Management should closely monitor this expense trend to ensure it does not become a structural drag on underwriting margins.</w:t>
      </w:r>
    </w:p>
    <w:p>
      <w:pPr>
        <w:pStyle w:val="Heading1"/>
      </w:pPr>
      <w:r>
        <w:t>KPI Overview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Metric</w:t>
            </w:r>
          </w:p>
        </w:tc>
        <w:tc>
          <w:tcPr>
            <w:tcW w:type="dxa" w:w="1440"/>
          </w:tcPr>
          <w:p>
            <w:r>
              <w:t>2022</w:t>
            </w:r>
          </w:p>
        </w:tc>
        <w:tc>
          <w:tcPr>
            <w:tcW w:type="dxa" w:w="1440"/>
          </w:tcPr>
          <w:p>
            <w:r>
              <w:t>2023</w:t>
            </w:r>
          </w:p>
        </w:tc>
        <w:tc>
          <w:tcPr>
            <w:tcW w:type="dxa" w:w="1440"/>
          </w:tcPr>
          <w:p>
            <w:r>
              <w:t>YoY</w:t>
            </w:r>
          </w:p>
        </w:tc>
        <w:tc>
          <w:tcPr>
            <w:tcW w:type="dxa" w:w="1440"/>
          </w:tcPr>
          <w:p>
            <w:r>
              <w:t>2024</w:t>
            </w:r>
          </w:p>
        </w:tc>
        <w:tc>
          <w:tcPr>
            <w:tcW w:type="dxa" w:w="1440"/>
          </w:tcPr>
          <w:p>
            <w:r>
              <w:t>YoY</w:t>
            </w:r>
          </w:p>
        </w:tc>
      </w:tr>
      <w:tr>
        <w:tc>
          <w:tcPr>
            <w:tcW w:type="dxa" w:w="1440"/>
          </w:tcPr>
          <w:p>
            <w:r>
              <w:t>Gross premiums</w:t>
            </w:r>
          </w:p>
        </w:tc>
        <w:tc>
          <w:tcPr>
            <w:tcW w:type="dxa" w:w="1440"/>
          </w:tcPr>
          <w:p>
            <w:r>
              <w:t>S$179.0m</w:t>
            </w:r>
          </w:p>
        </w:tc>
        <w:tc>
          <w:tcPr>
            <w:tcW w:type="dxa" w:w="1440"/>
          </w:tcPr>
          <w:p>
            <w:r>
              <w:t>S$180.4m</w:t>
            </w:r>
          </w:p>
        </w:tc>
        <w:tc>
          <w:tcPr>
            <w:tcW w:type="dxa" w:w="1440"/>
          </w:tcPr>
          <w:p>
            <w:r>
              <w:t>+0.8%</w:t>
            </w:r>
          </w:p>
        </w:tc>
        <w:tc>
          <w:tcPr>
            <w:tcW w:type="dxa" w:w="1440"/>
          </w:tcPr>
          <w:p>
            <w:r>
              <w:t>S$208.0m</w:t>
            </w:r>
          </w:p>
        </w:tc>
        <w:tc>
          <w:tcPr>
            <w:tcW w:type="dxa" w:w="1440"/>
          </w:tcPr>
          <w:p>
            <w:r>
              <w:t>+15.3%</w:t>
            </w:r>
          </w:p>
        </w:tc>
      </w:tr>
      <w:tr>
        <w:tc>
          <w:tcPr>
            <w:tcW w:type="dxa" w:w="1440"/>
          </w:tcPr>
          <w:p>
            <w:r>
              <w:t>Earned premiums</w:t>
            </w:r>
          </w:p>
        </w:tc>
        <w:tc>
          <w:tcPr>
            <w:tcW w:type="dxa" w:w="1440"/>
          </w:tcPr>
          <w:p>
            <w:r>
              <w:t>S$102.6m</w:t>
            </w:r>
          </w:p>
        </w:tc>
        <w:tc>
          <w:tcPr>
            <w:tcW w:type="dxa" w:w="1440"/>
          </w:tcPr>
          <w:p>
            <w:r>
              <w:t>S$105.1m</w:t>
            </w:r>
          </w:p>
        </w:tc>
        <w:tc>
          <w:tcPr>
            <w:tcW w:type="dxa" w:w="1440"/>
          </w:tcPr>
          <w:p>
            <w:r>
              <w:t>+2.5%</w:t>
            </w:r>
          </w:p>
        </w:tc>
        <w:tc>
          <w:tcPr>
            <w:tcW w:type="dxa" w:w="1440"/>
          </w:tcPr>
          <w:p>
            <w:r>
              <w:t>S$119.6m</w:t>
            </w:r>
          </w:p>
        </w:tc>
        <w:tc>
          <w:tcPr>
            <w:tcW w:type="dxa" w:w="1440"/>
          </w:tcPr>
          <w:p>
            <w:r>
              <w:t>+13.8%</w:t>
            </w:r>
          </w:p>
        </w:tc>
      </w:tr>
      <w:tr>
        <w:tc>
          <w:tcPr>
            <w:tcW w:type="dxa" w:w="1440"/>
          </w:tcPr>
          <w:p>
            <w:r>
              <w:t>Net claims incurred</w:t>
            </w:r>
          </w:p>
        </w:tc>
        <w:tc>
          <w:tcPr>
            <w:tcW w:type="dxa" w:w="1440"/>
          </w:tcPr>
          <w:p>
            <w:r>
              <w:t>S$48.8m</w:t>
            </w:r>
          </w:p>
        </w:tc>
        <w:tc>
          <w:tcPr>
            <w:tcW w:type="dxa" w:w="1440"/>
          </w:tcPr>
          <w:p>
            <w:r>
              <w:t>S$47.5m</w:t>
            </w:r>
          </w:p>
        </w:tc>
        <w:tc>
          <w:tcPr>
            <w:tcW w:type="dxa" w:w="1440"/>
          </w:tcPr>
          <w:p>
            <w:r>
              <w:t>-2.6%</w:t>
            </w:r>
          </w:p>
        </w:tc>
        <w:tc>
          <w:tcPr>
            <w:tcW w:type="dxa" w:w="1440"/>
          </w:tcPr>
          <w:p>
            <w:r>
              <w:t>S$52.3m</w:t>
            </w:r>
          </w:p>
        </w:tc>
        <w:tc>
          <w:tcPr>
            <w:tcW w:type="dxa" w:w="1440"/>
          </w:tcPr>
          <w:p>
            <w:r>
              <w:t>+10.1%</w:t>
            </w:r>
          </w:p>
        </w:tc>
      </w:tr>
      <w:tr>
        <w:tc>
          <w:tcPr>
            <w:tcW w:type="dxa" w:w="1440"/>
          </w:tcPr>
          <w:p>
            <w:r>
              <w:t>Management expenses</w:t>
            </w:r>
          </w:p>
        </w:tc>
        <w:tc>
          <w:tcPr>
            <w:tcW w:type="dxa" w:w="1440"/>
          </w:tcPr>
          <w:p>
            <w:r>
              <w:t>S$20.2m</w:t>
            </w:r>
          </w:p>
        </w:tc>
        <w:tc>
          <w:tcPr>
            <w:tcW w:type="dxa" w:w="1440"/>
          </w:tcPr>
          <w:p>
            <w:r>
              <w:t>S$21.0m</w:t>
            </w:r>
          </w:p>
        </w:tc>
        <w:tc>
          <w:tcPr>
            <w:tcW w:type="dxa" w:w="1440"/>
          </w:tcPr>
          <w:p>
            <w:r>
              <w:t>+3.9%</w:t>
            </w:r>
          </w:p>
        </w:tc>
        <w:tc>
          <w:tcPr>
            <w:tcW w:type="dxa" w:w="1440"/>
          </w:tcPr>
          <w:p>
            <w:r>
              <w:t>S$22.9m</w:t>
            </w:r>
          </w:p>
        </w:tc>
        <w:tc>
          <w:tcPr>
            <w:tcW w:type="dxa" w:w="1440"/>
          </w:tcPr>
          <w:p>
            <w:r>
              <w:t>+8.9%</w:t>
            </w:r>
          </w:p>
        </w:tc>
      </w:tr>
      <w:tr>
        <w:tc>
          <w:tcPr>
            <w:tcW w:type="dxa" w:w="1440"/>
          </w:tcPr>
          <w:p>
            <w:r>
              <w:t>Distribution expenses</w:t>
            </w:r>
          </w:p>
        </w:tc>
        <w:tc>
          <w:tcPr>
            <w:tcW w:type="dxa" w:w="1440"/>
          </w:tcPr>
          <w:p>
            <w:r>
              <w:t>S$10.4m</w:t>
            </w:r>
          </w:p>
        </w:tc>
        <w:tc>
          <w:tcPr>
            <w:tcW w:type="dxa" w:w="1440"/>
          </w:tcPr>
          <w:p>
            <w:r>
              <w:t>S$12.9m</w:t>
            </w:r>
          </w:p>
        </w:tc>
        <w:tc>
          <w:tcPr>
            <w:tcW w:type="dxa" w:w="1440"/>
          </w:tcPr>
          <w:p>
            <w:r>
              <w:t>+24.5%</w:t>
            </w:r>
          </w:p>
        </w:tc>
        <w:tc>
          <w:tcPr>
            <w:tcW w:type="dxa" w:w="1440"/>
          </w:tcPr>
          <w:p>
            <w:r>
              <w:t>S$16.1m</w:t>
            </w:r>
          </w:p>
        </w:tc>
        <w:tc>
          <w:tcPr>
            <w:tcW w:type="dxa" w:w="1440"/>
          </w:tcPr>
          <w:p>
            <w:r>
              <w:t>+24.9%</w:t>
            </w:r>
          </w:p>
        </w:tc>
      </w:tr>
      <w:tr>
        <w:tc>
          <w:tcPr>
            <w:tcW w:type="dxa" w:w="1440"/>
          </w:tcPr>
          <w:p>
            <w:r>
              <w:t>Underwriting result</w:t>
            </w:r>
          </w:p>
        </w:tc>
        <w:tc>
          <w:tcPr>
            <w:tcW w:type="dxa" w:w="1440"/>
          </w:tcPr>
          <w:p>
            <w:r>
              <w:t>S$23.2m</w:t>
            </w:r>
          </w:p>
        </w:tc>
        <w:tc>
          <w:tcPr>
            <w:tcW w:type="dxa" w:w="1440"/>
          </w:tcPr>
          <w:p>
            <w:r>
              <w:t>S$23.7m</w:t>
            </w:r>
          </w:p>
        </w:tc>
        <w:tc>
          <w:tcPr>
            <w:tcW w:type="dxa" w:w="1440"/>
          </w:tcPr>
          <w:p>
            <w:r>
              <w:t>+2.0%</w:t>
            </w:r>
          </w:p>
        </w:tc>
        <w:tc>
          <w:tcPr>
            <w:tcW w:type="dxa" w:w="1440"/>
          </w:tcPr>
          <w:p>
            <w:r>
              <w:t>S$28.3m</w:t>
            </w:r>
          </w:p>
        </w:tc>
        <w:tc>
          <w:tcPr>
            <w:tcW w:type="dxa" w:w="1440"/>
          </w:tcPr>
          <w:p>
            <w:r>
              <w:t>+19.5%</w:t>
            </w:r>
          </w:p>
        </w:tc>
      </w:tr>
      <w:tr>
        <w:tc>
          <w:tcPr>
            <w:tcW w:type="dxa" w:w="1440"/>
          </w:tcPr>
          <w:p>
            <w:r>
              <w:t>Investment income</w:t>
            </w:r>
          </w:p>
        </w:tc>
        <w:tc>
          <w:tcPr>
            <w:tcW w:type="dxa" w:w="1440"/>
          </w:tcPr>
          <w:p>
            <w:r>
              <w:t>-S$14.5m</w:t>
            </w:r>
          </w:p>
        </w:tc>
        <w:tc>
          <w:tcPr>
            <w:tcW w:type="dxa" w:w="1440"/>
          </w:tcPr>
          <w:p>
            <w:r>
              <w:t>S$24.9m</w:t>
            </w:r>
          </w:p>
        </w:tc>
        <w:tc>
          <w:tcPr>
            <w:tcW w:type="dxa" w:w="1440"/>
          </w:tcPr>
          <w:p>
            <w:r>
              <w:t>+271.7%</w:t>
            </w:r>
          </w:p>
        </w:tc>
        <w:tc>
          <w:tcPr>
            <w:tcW w:type="dxa" w:w="1440"/>
          </w:tcPr>
          <w:p>
            <w:r>
              <w:t>S$18.3m</w:t>
            </w:r>
          </w:p>
        </w:tc>
        <w:tc>
          <w:tcPr>
            <w:tcW w:type="dxa" w:w="1440"/>
          </w:tcPr>
          <w:p>
            <w:r>
              <w:t>-26.5%</w:t>
            </w:r>
          </w:p>
        </w:tc>
      </w:tr>
      <w:tr>
        <w:tc>
          <w:tcPr>
            <w:tcW w:type="dxa" w:w="1440"/>
          </w:tcPr>
          <w:p>
            <w:r>
              <w:t>Operating result</w:t>
            </w:r>
          </w:p>
        </w:tc>
        <w:tc>
          <w:tcPr>
            <w:tcW w:type="dxa" w:w="1440"/>
          </w:tcPr>
          <w:p>
            <w:r>
              <w:t>S$8.7m</w:t>
            </w:r>
          </w:p>
        </w:tc>
        <w:tc>
          <w:tcPr>
            <w:tcW w:type="dxa" w:w="1440"/>
          </w:tcPr>
          <w:p>
            <w:r>
              <w:t>S$48.6m</w:t>
            </w:r>
          </w:p>
        </w:tc>
        <w:tc>
          <w:tcPr>
            <w:tcW w:type="dxa" w:w="1440"/>
          </w:tcPr>
          <w:p>
            <w:r>
              <w:t>+456.4%</w:t>
            </w:r>
          </w:p>
        </w:tc>
        <w:tc>
          <w:tcPr>
            <w:tcW w:type="dxa" w:w="1440"/>
          </w:tcPr>
          <w:p>
            <w:r>
              <w:t>S$46.7m</w:t>
            </w:r>
          </w:p>
        </w:tc>
        <w:tc>
          <w:tcPr>
            <w:tcW w:type="dxa" w:w="1440"/>
          </w:tcPr>
          <w:p>
            <w:r>
              <w:t>-4.0%</w:t>
            </w:r>
          </w:p>
        </w:tc>
      </w:tr>
    </w:tbl>
    <w:p>
      <w:pPr>
        <w:pStyle w:val="Heading1"/>
      </w:pPr>
      <w:r>
        <w:t>Year-on-Year Commentary</w:t>
      </w:r>
    </w:p>
    <w:p>
      <w:pPr>
        <w:pStyle w:val="Heading2"/>
      </w:pPr>
      <w:r>
        <w:t>2023 vs 2022</w:t>
      </w:r>
    </w:p>
    <w:p>
      <w:pPr>
        <w:pStyle w:val="ListBullet"/>
      </w:pPr>
      <w:r>
        <w:t>The operating result increased by S$39.9m from S$8.7m in 2022 to S$48.6m in 2023. This increase was primarily driven by a S$39.4m rise in investment income, rather than changes in underwriting performance.</w:t>
      </w:r>
    </w:p>
    <w:p>
      <w:pPr>
        <w:pStyle w:val="ListBullet"/>
      </w:pPr>
      <w:r>
        <w:t>Underwriting resulted in a S$0.5m decrease from S$23.2m in 2022 to S$23.7m in 2023. This slight movement was not significant enough to impact the overall operating result. Key contributors to the underwriting result included a S$1.7m increase in claims incurred and a S$1.2m increase in management expenses, both of which grew faster than earned premiums. Distribution expenses also increased by S$2.5m, contributing to the overall expense growth.</w:t>
      </w:r>
    </w:p>
    <w:p>
      <w:pPr>
        <w:pStyle w:val="Heading2"/>
      </w:pPr>
      <w:r>
        <w:t>2024 vs 2023</w:t>
      </w:r>
    </w:p>
    <w:p>
      <w:pPr>
        <w:pStyle w:val="ListBullet"/>
      </w:pPr>
      <w:r>
        <w:t>The operating result decreased by S$2.0m from S$48.6m in 2023 to S$46.7m in 2024. The primary driver of this change was the decrease in investment income of S$6.6m.</w:t>
      </w:r>
    </w:p>
    <w:p>
      <w:pPr>
        <w:pStyle w:val="ListBullet"/>
      </w:pPr>
      <w:r>
        <w:t>Underwriting result improved by S$4.6m to S$28.3m, primarily due to a normalisation in investment income following a loss year in 2022. This improvement was partially offset by an increase in management expenses of S$1.9m and distribution expenses of S$3.2m. The most material cost pressure was represented by the rise in distribution expenses, which increased to S$16.1m, accounting for 13.5% of earned premiums compared to 10.1% in 2023.</w:t>
      </w:r>
    </w:p>
    <w:p>
      <w:pPr>
        <w:pStyle w:val="Heading1"/>
      </w:pPr>
      <w:r>
        <w:t>Financial Movement Chart</w:t>
      </w:r>
    </w:p>
    <w:p>
      <w:r>
        <w:drawing>
          <wp:inline xmlns:a="http://schemas.openxmlformats.org/drawingml/2006/main" xmlns:pic="http://schemas.openxmlformats.org/drawingml/2006/picture">
            <wp:extent cx="5852160" cy="348291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G_SIF_G1_2022_202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4829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Management Review Points</w:t>
      </w:r>
    </w:p>
    <w:p>
      <w:pPr>
        <w:pStyle w:val="ListBullet"/>
      </w:pPr>
      <w:r>
        <w:t>Earned premium growth of +16.6% over 2022 to 2024 outpaced net claims growth of +7.2%, from S$102.6m to S$119.6m and S$48.8m to S$52.3m respectively; monitor by line of business to confirm the margin trend is not narrowing.</w:t>
      </w:r>
    </w:p>
    <w:p>
      <w:pPr>
        <w:pStyle w:val="ListBullet"/>
      </w:pPr>
      <w:r>
        <w:t>Distribution expenses rose from 10.1% to 13.5% of earned premiums (S$10.4m to S$16.1m); distribution expense growth of +55.4% exceeded earned premium growth of +16.6%, so management should assess whether this pressure is structural.</w:t>
      </w:r>
    </w:p>
    <w:p>
      <w:pPr>
        <w:pStyle w:val="ListBullet"/>
      </w:pPr>
      <w:r>
        <w:t>Underwriting result of S$28.3m in 2024 should be assessed separately from investment income of S$18.3m when evaluating operating result quality; investment income moved from -S$14.5m in 2022 and has shown material volatility across the period.</w:t>
      </w:r>
    </w:p>
    <w:p>
      <w:pPr>
        <w:pStyle w:val="ListBullet"/>
      </w:pPr>
      <w:r>
        <w:t>Validate all movements by line of business before external publication; the fund-level figures do not distinguish between lines and may mask offsetting movements.</w:t>
      </w:r>
    </w:p>
    <w:p>
      <w:pPr>
        <w:pStyle w:val="Heading1"/>
      </w:pPr>
      <w:r>
        <w:t>Key Monitoring Areas / Emerging Risks</w:t>
      </w:r>
    </w:p>
    <w:p>
      <w:pPr>
        <w:pStyle w:val="ListBullet"/>
      </w:pPr>
      <w:r>
        <w:t>Premium growth exceeded claims growth by +3.7% in 2024 (+13.8% vs +10.1%); monitor whether this spread is maintained as claims development matures.</w:t>
      </w:r>
    </w:p>
    <w:p>
      <w:pPr>
        <w:pStyle w:val="ListBullet"/>
      </w:pPr>
      <w:r>
        <w:t>Distribution expense growth exceeded earned premium growth by +11.1% in 2024; if this trend continues it will compress underwriting margins regardless of premium volume.</w:t>
      </w:r>
    </w:p>
    <w:p>
      <w:pPr>
        <w:pStyle w:val="ListBullet"/>
      </w:pPr>
      <w:r>
        <w:t>Investment income swung by S$39.4m between 2022 and 2023 (from -S$14.5m to S$24.9m); operating result sustainability should not be assessed without separating underwriting from investment contributions.</w:t>
      </w:r>
    </w:p>
    <w:p>
      <w:pPr>
        <w:pStyle w:val="ListBullet"/>
      </w:pPr>
      <w:r>
        <w:t>Underwriting result represented 61% of the 2024 operating result; monitor whether the underwriting share of earnings continues to improve or whether the fund remains partially dependent on investment income.</w:t>
      </w:r>
    </w:p>
    <w:p>
      <w:pPr>
        <w:pStyle w:val="Heading1"/>
      </w:pPr>
      <w:r>
        <w:t>Scope and Limitations</w:t>
      </w:r>
    </w:p>
    <w:p>
      <w:r>
        <w:t>This commentary was generated by a Hugging Face instruction model (`Qwen/Qwen2.5-3B-Instruct`) using structured MAS G1 facts derived from the local workbook. It is intended as a management-ready draft and should be reviewed against detailed line-of-business analysis, reserving information, reinsurance arrangements, and management explanations before publication.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