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497F01" w:rsidR="0023414E" w:rsidRDefault="00000000">
      <w:r>
        <w:t xml:space="preserve">&lt;Instruction: Extract the total company ratio by company and year </w:t>
      </w:r>
      <w:r>
        <w:br/>
        <w:t xml:space="preserve">- </w:t>
      </w:r>
      <w:r w:rsidR="005E587F">
        <w:t>comment on Income 2024 CAR ratio</w:t>
      </w:r>
      <w:r>
        <w:br/>
        <w:t>- plot the year to year total CAR ratio</w:t>
      </w:r>
      <w:r>
        <w:br/>
        <w:t xml:space="preserve">- generate a commentary to explain the total company CAR ratio movement </w:t>
      </w:r>
      <w:r w:rsidR="005E587F">
        <w:br/>
        <w:t>- compare total company CAR ratio with Prudential and Tokio Marine Life</w:t>
      </w:r>
      <w:r>
        <w:br/>
        <w:t xml:space="preserve">- the language used should be formal business language </w:t>
      </w:r>
      <w:r>
        <w:br/>
        <w:t>- the target audience is the senior management of the company</w:t>
      </w:r>
      <w:r>
        <w:br/>
        <w:t>- explain what are the main drivers of the change in CAR ratio for each company&gt;</w:t>
      </w:r>
    </w:p>
    <w:p w14:paraId="00000002" w14:textId="77777777" w:rsidR="0023414E" w:rsidRDefault="0023414E"/>
    <w:p w14:paraId="00000003" w14:textId="77777777" w:rsidR="0023414E" w:rsidRDefault="00000000">
      <w:pPr>
        <w:rPr>
          <w:b/>
          <w:u w:val="single"/>
        </w:rPr>
      </w:pPr>
      <w:r>
        <w:rPr>
          <w:b/>
          <w:u w:val="single"/>
        </w:rPr>
        <w:t>Executive Summary</w:t>
      </w:r>
    </w:p>
    <w:p w14:paraId="00000004" w14:textId="77777777" w:rsidR="0023414E" w:rsidRDefault="00000000">
      <w:r>
        <w:t>&lt;executive summary&gt;</w:t>
      </w:r>
    </w:p>
    <w:p w14:paraId="00000005" w14:textId="77777777" w:rsidR="0023414E" w:rsidRDefault="0023414E"/>
    <w:p w14:paraId="00000006" w14:textId="77777777" w:rsidR="0023414E" w:rsidRDefault="00000000">
      <w:pPr>
        <w:rPr>
          <w:b/>
          <w:u w:val="single"/>
        </w:rPr>
      </w:pPr>
      <w:r>
        <w:rPr>
          <w:b/>
          <w:u w:val="single"/>
        </w:rPr>
        <w:t>Analysis on capital adequacy ratio (CAR)</w:t>
      </w:r>
    </w:p>
    <w:p w14:paraId="00000007" w14:textId="6A3B5FF7" w:rsidR="0023414E" w:rsidRDefault="00000000">
      <w:r>
        <w:t>&lt;graphs and analysis</w:t>
      </w:r>
      <w:r w:rsidR="00C16D23">
        <w:t xml:space="preserve"> </w:t>
      </w:r>
      <w:bookmarkStart w:id="0" w:name="_Hlk202514696"/>
      <w:r w:rsidR="00C16D23">
        <w:t>for capital adequency ratio</w:t>
      </w:r>
      <w:bookmarkEnd w:id="0"/>
      <w:r>
        <w:br/>
        <w:t>- include the detailed explanations of the main reason of year to year change in CAR ratio (e.g., which components have most significant changes that contributes to a change in CAR ratio&gt;</w:t>
      </w:r>
    </w:p>
    <w:p w14:paraId="00000008" w14:textId="77777777" w:rsidR="0023414E" w:rsidRDefault="0023414E"/>
    <w:p w14:paraId="00000009" w14:textId="77777777" w:rsidR="0023414E" w:rsidRDefault="0023414E"/>
    <w:p w14:paraId="0000000A" w14:textId="3F68824E" w:rsidR="0023414E" w:rsidRDefault="00000000">
      <w:pPr>
        <w:rPr>
          <w:b/>
          <w:u w:val="single"/>
        </w:rPr>
      </w:pPr>
      <w:r>
        <w:rPr>
          <w:b/>
          <w:u w:val="single"/>
        </w:rPr>
        <w:t xml:space="preserve">Analysis on </w:t>
      </w:r>
      <w:r w:rsidR="005E587F">
        <w:rPr>
          <w:b/>
          <w:u w:val="single"/>
        </w:rPr>
        <w:t>fund solvency ratio</w:t>
      </w:r>
      <w:r>
        <w:rPr>
          <w:b/>
          <w:u w:val="single"/>
        </w:rPr>
        <w:t xml:space="preserve"> (</w:t>
      </w:r>
      <w:r w:rsidR="005E587F">
        <w:rPr>
          <w:b/>
          <w:u w:val="single"/>
        </w:rPr>
        <w:t>FSR</w:t>
      </w:r>
      <w:r>
        <w:rPr>
          <w:b/>
          <w:u w:val="single"/>
        </w:rPr>
        <w:t>)</w:t>
      </w:r>
    </w:p>
    <w:p w14:paraId="0000000B" w14:textId="6265D1B4" w:rsidR="0023414E" w:rsidRDefault="00000000">
      <w:pPr>
        <w:rPr>
          <w:b/>
          <w:u w:val="single"/>
        </w:rPr>
      </w:pPr>
      <w:r>
        <w:t>&lt;graphs and analysis</w:t>
      </w:r>
      <w:r w:rsidR="00C16D23">
        <w:t xml:space="preserve"> </w:t>
      </w:r>
      <w:r w:rsidR="00C16D23">
        <w:t xml:space="preserve">for </w:t>
      </w:r>
      <w:r w:rsidR="00C16D23">
        <w:t>fund solvency</w:t>
      </w:r>
      <w:r w:rsidR="00C16D23">
        <w:t xml:space="preserve"> ratio</w:t>
      </w:r>
      <w:r w:rsidR="005E587F">
        <w:br/>
        <w:t>- include the analysis by different insurance funds</w:t>
      </w:r>
      <w:r w:rsidR="005E587F">
        <w:br/>
        <w:t>- compare the results with competitors (i.e., Prudential, Tokio Marine Life)</w:t>
      </w:r>
      <w:r w:rsidR="005E587F">
        <w:br/>
        <w:t>- explain what is the main reason of the change in the FSR</w:t>
      </w:r>
      <w:r>
        <w:t>&gt;</w:t>
      </w:r>
    </w:p>
    <w:sectPr w:rsidR="0023414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A56FD"/>
    <w:multiLevelType w:val="multilevel"/>
    <w:tmpl w:val="D05AA9A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32118510">
    <w:abstractNumId w:val="0"/>
  </w:num>
  <w:num w:numId="2" w16cid:durableId="1196963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76180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24922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88750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8975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14E"/>
    <w:rsid w:val="001906C9"/>
    <w:rsid w:val="0023414E"/>
    <w:rsid w:val="005E587F"/>
    <w:rsid w:val="00912E86"/>
    <w:rsid w:val="00C1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75176"/>
  <w15:docId w15:val="{235F3F17-B40A-4FF6-9014-21AE32D1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RfqB/QusrembbhYkmM+yyobhaA==">CgMxLjA4AHIhMUVQTHlQTVhtOGFSVHhHVVZUcFRfTGgybjJlSDI0aEhB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918</Characters>
  <Application>Microsoft Office Word</Application>
  <DocSecurity>0</DocSecurity>
  <Lines>7</Lines>
  <Paragraphs>2</Paragraphs>
  <ScaleCrop>false</ScaleCrop>
  <Company>PartnerRe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Jasper Lok</cp:lastModifiedBy>
  <cp:revision>3</cp:revision>
  <dcterms:created xsi:type="dcterms:W3CDTF">2013-12-23T23:15:00Z</dcterms:created>
  <dcterms:modified xsi:type="dcterms:W3CDTF">2025-07-04T01:44:00Z</dcterms:modified>
</cp:coreProperties>
</file>