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5B9E"/>
          <w:sz w:val="72"/>
          <w:szCs w:val="72"/>
        </w:rPr>
        <w:t xml:space="preserve">AI ACT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2B4A"/>
          <w:sz w:val="48"/>
          <w:szCs w:val="48"/>
        </w:rPr>
        <w:t xml:space="preserve">Compliance by Design Dossier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40"/>
          <w:szCs w:val="40"/>
        </w:rPr>
        <w:t xml:space="preserve">Dossier de Conformité by Design</w:t>
      </w:r>
    </w:p>
    <w:p>
      <w:pPr>
        <w:pBdr>
          <w:top w:val="single" w:color="2E5B9E" w:sz="4" w:space="1"/>
          <w:bottom w:val="single" w:color="2E5B9E" w:sz="4" w:space="1"/>
        </w:pBdr>
        <w:spacing w:before="80" w:after="80"/>
        <w:jc w:val="center"/>
      </w:pPr>
      <w:r>
        <w:rPr>
          <w:rFonts w:ascii="Arial" w:cs="Arial" w:eastAsia="Arial" w:hAnsi="Arial"/>
          <w:color w:val="2E5B9E"/>
          <w:sz w:val="22"/>
          <w:szCs w:val="22"/>
        </w:rPr>
        <w:t xml:space="preserve">Open Source · Open Chain · EU AI Act (EU) 2024/1689 · ISO/IEC 42001 · ISO/IEC 5230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Version / Version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 / Référence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[ORG-YYYY-NNN]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[PUBLIC / INTERNAL / CONFIDENTIAL]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Chain Ref.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[REPO-URL | SBOM-ID]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Licence: CC BY-SA 4.0 — Attribution required / Attribution requise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 · Document Identification / Identification du document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1.1 System Identification / Identification du système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Name / Nom du système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[System Name]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Version / Version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[x.y.z]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/ Fournisseur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[Organisation Name]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Entity / Entité légale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[Legal Name, Reg. Number]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(Art. 46)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[name@domain.tld]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Owner / Propriétaire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[Name, Role]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Applicable Regulation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AI Act (EU) 2024/1689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Source Licence / Licence OS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[SPDX identifier, e.g. Apache-2.0]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OpenChain Conformance / Conformité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[ISO/IEC 5230 — Yes / In progress / N/A]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SBOM Available / SBOM disponible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 / No — URL or path]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Representative / Représentant UE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 / N/A]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1.2 Document History / Historique du document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800"/>
      </w:tblGrid>
      <w:tr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 / Auteur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/ Modifications</w:t>
            </w:r>
          </w:p>
        </w:tc>
      </w:tr>
      <w:tr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release / Création initiale</w:t>
            </w:r>
          </w:p>
        </w:tc>
      </w:tr>
      <w:tr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2 · System Description / Description du système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2.1 Intended Purpose / Finalité prévue</w:t>
      </w:r>
    </w:p>
    <w:p>
      <w:pPr>
        <w:pBdr>
          <w:left w:val="single" w:color="2E5B9E" w:sz="6" w:space="8"/>
        </w:pBdr>
        <w:spacing w:before="60" w:after="40"/>
        <w:ind w:left="360"/>
      </w:pPr>
      <w:r>
        <w:rPr>
          <w:rFonts w:ascii="Arial" w:cs="Arial" w:eastAsia="Arial" w:hAnsi="Arial"/>
          <w:b/>
          <w:bCs/>
          <w:color w:val="2E5B9E"/>
          <w:sz w:val="20"/>
          <w:szCs w:val="20"/>
        </w:rPr>
        <w:t xml:space="preserve">EN —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Describe the intended purpose of the AI system, including specific tasks, domain of use, and intended users.</w:t>
      </w:r>
    </w:p>
    <w:p>
      <w:pPr>
        <w:pBdr>
          <w:left w:val="single" w:color="1A2B4A" w:sz="6" w:space="8"/>
        </w:pBdr>
        <w:spacing w:before="40" w:after="80"/>
        <w:ind w:left="36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FR —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Décrire la finalité prévue du système d'IA, y compris les tâches spécifiques, le domaine d'utilisation et les utilisateurs ciblés.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[Description — max. 500 words / 500 mots]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2.2 Foreseeable Misuse / Mésusage prévisible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[Description of foreseeable misuse scenarios / Scénarios de mésusage prévisibles]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2.3 System Architecture / Architecture du système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000"/>
      </w:tblGrid>
      <w:tr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Composant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 (SPDX)</w:t>
            </w:r>
          </w:p>
        </w:tc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Rôle</w:t>
            </w:r>
          </w:p>
        </w:tc>
      </w:tr>
      <w:tr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model / Modèle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LLM, CNN]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[Apache-2.0]</w:t>
            </w:r>
          </w:p>
        </w:tc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Inference engine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ONNX Runtime]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[MIT]</w:t>
            </w:r>
          </w:p>
        </w:tc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Apache Spark]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[Apache-2.0]</w:t>
            </w:r>
          </w:p>
        </w:tc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layer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FastAPI]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[MIT]</w:t>
            </w:r>
          </w:p>
        </w:tc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/ Interface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React]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[MIT]</w:t>
            </w:r>
          </w:p>
        </w:tc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2.4 Deployment Context / Contexte de déploiement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type / Type de déploiement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On-premise / Cloud / Hybrid / Edge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geography / Géographie cible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EU / National / Global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Operational environment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infrastructure interface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— detail ]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3 · Risk Classification / Classification du risque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3.1 AI Act Risk Level / Niveau de risque AI 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800"/>
      </w:tblGrid>
      <w:tr>
        <w:tc>
          <w:tcPr>
            <w:tcW w:type="dxa" w:w="5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/ Critère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/ Évaluation</w:t>
            </w:r>
          </w:p>
        </w:tc>
      </w:tr>
      <w:tr>
        <w:tc>
          <w:tcPr>
            <w:tcW w:type="dxa" w:w="5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Prohibited practice (Art. 5) / Pratique interdite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— STOP / No — continue ]</w:t>
            </w:r>
          </w:p>
        </w:tc>
      </w:tr>
      <w:tr>
        <w:tc>
          <w:tcPr>
            <w:tcW w:type="dxa" w:w="5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High-risk (Annex III) / Haut risque (Annexe III)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/ Borderline ]</w:t>
            </w:r>
          </w:p>
        </w:tc>
      </w:tr>
      <w:tr>
        <w:tc>
          <w:tcPr>
            <w:tcW w:type="dxa" w:w="5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High-risk product safety (Annex I)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</w:tr>
      <w:tr>
        <w:tc>
          <w:tcPr>
            <w:tcW w:type="dxa" w:w="5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General-purpose AI (Art. 3(63)) / IAUG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</w:tr>
      <w:tr>
        <w:tc>
          <w:tcPr>
            <w:tcW w:type="dxa" w:w="5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GPAI with systemic risk (Art. 51)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/ N/A ]</w:t>
            </w:r>
          </w:p>
        </w:tc>
      </w:tr>
      <w:tr>
        <w:tc>
          <w:tcPr>
            <w:tcW w:type="dxa" w:w="5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 risk — transparency (Art. 50)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</w:tr>
      <w:tr>
        <w:tc>
          <w:tcPr>
            <w:tcW w:type="dxa" w:w="5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risk / Risque minimal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3.2 Final Classification / Classification finale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Level / Niveau de risque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PROHIBITED / HIGH / GPAI-SYSTEMIC / LIMITED / MINIMAL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[Detailed justification with article references / Justification avec articles]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3.3 Open Source Exemption (Art. 2(12)) / Exemption Open Source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Exemption claimed / Revendiquée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/ Partial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Basis / Fondement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[Art. 2(12) — description]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Limitations / Limitations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4 · Open Source Governance / Gouvernance Open Source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4.1 OpenChain Compliance / Conformité OpenChain (ISO/IEC 5230)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200"/>
      </w:tblGrid>
      <w:tr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/ Exigence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Statut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Preuve</w:t>
            </w:r>
          </w:p>
        </w:tc>
      </w:tr>
      <w:tr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FOSS policy documented / Politique FOSS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/ In progress ]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[link/path]</w:t>
            </w:r>
          </w:p>
        </w:tc>
      </w:tr>
      <w:tr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FOSS competence program / Formation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/ In progress ]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[link/path]</w:t>
            </w:r>
          </w:p>
        </w:tc>
      </w:tr>
      <w:tr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FOSS review process / Processus de revue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/ In progress ]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[link/path]</w:t>
            </w:r>
          </w:p>
        </w:tc>
      </w:tr>
      <w:tr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SBOM generation / Génération SBOM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/ In progress ]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[link/path]</w:t>
            </w:r>
          </w:p>
        </w:tc>
      </w:tr>
      <w:tr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Contribution compliance / Contributions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/ In progress ]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[link/path]</w:t>
            </w:r>
          </w:p>
        </w:tc>
      </w:tr>
      <w:tr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oversight / Supervision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/ In progress ]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[link/path]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4.2 SBOM / Nomenclature logicielle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SBOM format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SPDX-2.3 / CycloneDX-1.4 / SWID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SBOM location / Localisation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[URL or repository path]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frequency / Fréquence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at each release / à chaque release]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 AI model provenance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 training dataset refs.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4.3 Supply Chain Audit / Audit chaîne d'approvisionnement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[Description of vetting processes for upstream dependencies, vulnerability scanning, licence compatibility / Description des processus de vérification des dépendances, analyse de vulnérabilités, compatibilité des licences]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 · Data Governance / Gouvernance des données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5.1 Training Data / Données d'entraînement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200"/>
        <w:gridCol w:w="2600"/>
      </w:tblGrid>
      <w:tr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/ Jeu de données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 (SPDX)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Preprocessing</w:t>
            </w:r>
          </w:p>
        </w:tc>
      </w:tr>
      <w:tr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[origin]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[licence]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[size]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[steps]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5.2 Data Quality Measures / Qualité des données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800"/>
      </w:tblGrid>
      <w:tr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/ Mesure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/ Seuil</w:t>
            </w:r>
          </w:p>
        </w:tc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Bias assessment / Biais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[method]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[threshold]</w:t>
            </w:r>
          </w:p>
        </w:tc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Pass / Fail / Pending ]</w:t>
            </w:r>
          </w:p>
        </w:tc>
      </w:tr>
      <w:tr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Completeness / Complétude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[method]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[threshold]</w:t>
            </w:r>
          </w:p>
        </w:tc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Pass / Fail / Pending ]</w:t>
            </w:r>
          </w:p>
        </w:tc>
      </w:tr>
      <w:tr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Representativeness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[method]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[threshold]</w:t>
            </w:r>
          </w:p>
        </w:tc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Pass / Fail / Pending ]</w:t>
            </w:r>
          </w:p>
        </w:tc>
      </w:tr>
      <w:tr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poisoning check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[method]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[threshold]</w:t>
            </w:r>
          </w:p>
        </w:tc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Pass / Fail / Pending 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5.3 GDPR Alignment / Alignement RGPD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data processed / Données pers.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Lawful basis / Base légale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[Art. 6 GDPR — specify]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DPIA conducted / AIPD réalisée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— reference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retention / Conservation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[duration and policy]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localisation (EU) / Localisation UE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/ Hybrid 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5.4 Data Sovereignty / Souveraineté des données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[Description of storage location, access controls, encryption, and applicable legal frameworks / Localisation, contrôles d'accès, chiffrement et cadres légaux applicables]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6 · Technical Architecture &amp; Security / Architecture technique et sécurité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6.1 Design Principles / Principes de conception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200"/>
      </w:tblGrid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 / Principe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Preuve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by design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by design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Fail-safe defaults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footprint / Empreinte minimale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Auditability / Auditabilité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Sovereign architecture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6.2 Model Card / Fiche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type / Type de modèle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transformer, CNN, ensemble]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framework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PyTorch, TensorFlow]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size / Taille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[parameters / disk size]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Quantisation / Quantisation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— format / No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Inference hardware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[CPU / GPU / NPU — spec]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metrics / Métriques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[Accuracy, F1, etc. — values]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Known limitations / Limitations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6.3 Security Assessment / Évaluation sécurité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400"/>
      </w:tblGrid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/ Menace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/ Atténuation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Adversarial attacks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poisoning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extraction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injection (LLM)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Supply chain compromise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Inference attacks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6.4 Cryptographic Controls / Contrôles cryptographiques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600"/>
        <w:gridCol w:w="2200"/>
      </w:tblGrid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at rest / Repos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AES-256-GCM]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[FIPS 140-3]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in transit / Transit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TLS 1.3]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[RFC 8446]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signing / Signature modèle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Ed25519]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[RFC 8032]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]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 integrity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SHA-3-256]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[FIPS 202]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]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 · Human Oversight / Supervision humaine (Art. 14)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7.1 Oversight Mechanisms / Mécanismes de supervision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400"/>
      </w:tblGrid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 / Mécanisme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Responsable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Human-on-the-loop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Human-in-command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capability / Dérogation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Shutdown procedure / Arrêt</w:t>
            </w:r>
          </w:p>
        </w:tc>
        <w:tc>
          <w:tcPr>
            <w:tcW w:type="dxa" w:w="4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7.2 Reviewer Qualifications / Qualifications des superviseurs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[Description of required qualifications, training, and responsibilities / Qualifications requises, formation et responsabilités des superviseurs humains]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7.3 Automation Bias Mitigation / Atténuation biais d'automatisation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[Measures to prevent over-reliance on AI outputs / Mesures pour prévenir la surconfiance dans les sorties IA]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8 · Transparency &amp; Explainability / Transparence et explicabilité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8.1 Transparency Obligations / Obligations de transparence (Art. 13, 50)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Méthode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system disclosure / Divulgation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/ N/A ]</w:t>
            </w:r>
          </w:p>
        </w:tc>
      </w:tr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Capability &amp; limitations notice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/ N/A ]</w:t>
            </w:r>
          </w:p>
        </w:tc>
      </w:tr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contact point / Contact humain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/ N/A ]</w:t>
            </w:r>
          </w:p>
        </w:tc>
      </w:tr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explanation / Explication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/ N/A ]</w:t>
            </w:r>
          </w:p>
        </w:tc>
      </w:tr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to contest / Droit à contestation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✓ / ✗ / N/A 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8.2 Explainability Techniques / Techniques d'explicabilité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000"/>
      </w:tblGrid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SHAP / LIME / Attention]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[global / local]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[format]</w:t>
            </w:r>
          </w:p>
        </w:tc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[user / auditor]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8.3 Technical Documentation (Art. 11)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[Confirm coverage of: general description, design specs, training methodology, validation results, known limitations, monitoring procedures / Confirmer la couverture de : description générale, spécifications, méthodologie d'entraînement, résultats de validation, limitations, procédures de monitoring]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9 · Robustness, Accuracy &amp; Cybersecurity (Art. 15)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9.1 Performance Benchmarks / Benchmarks de performance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800"/>
      </w:tblGrid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Métrique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Cible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Set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 / Précision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 Score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Fairness / Équité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Latency / Latence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 / Disponibilité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[value]</w:t>
            </w:r>
          </w:p>
        </w:tc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9.2 Robustness Testing / Tests de robustesse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600"/>
        <w:gridCol w:w="2200"/>
      </w:tblGrid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Outil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Adversarial robustness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Foolbox, ART]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[Pass / Fail]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Distribution shift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[method]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[Pass / Fail]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case coverage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[method]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[Pass / Fail]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3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teaming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[method]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[Pass / Fail]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9.3 Cybersecurity Framework / Cadre cybersécurité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applied / Cadre appliqué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ANSSI / NIST CSF / ISO 27001 / NIS2 ]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Penetration testing / Tests de pénétration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[Date, scope, result]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Vulnerability disclosure / Divulgation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[URL]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CVE monitoring / Surveillance CVE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[Tool / Process]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NIS2 applicability / Applicabilité NIS2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/ Under assessment ]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10 · Fundamental Rights Impact Assessment (Art. 27) / AIFDR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10.1 FRIA Screening / Criblage AIFDR</w:t>
      </w:r>
    </w:p>
    <w:p>
      <w:pPr>
        <w:pBdr>
          <w:left w:val="single" w:color="2E5B9E" w:sz="6" w:space="8"/>
        </w:pBdr>
        <w:spacing w:before="60" w:after="40"/>
        <w:ind w:left="360"/>
      </w:pPr>
      <w:r>
        <w:rPr>
          <w:rFonts w:ascii="Arial" w:cs="Arial" w:eastAsia="Arial" w:hAnsi="Arial"/>
          <w:b/>
          <w:bCs/>
          <w:color w:val="2E5B9E"/>
          <w:sz w:val="20"/>
          <w:szCs w:val="20"/>
        </w:rPr>
        <w:t xml:space="preserve">EN —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Required for deployers of high-risk AI in specific sectors. Recommended as best practice for all systems.</w:t>
      </w:r>
    </w:p>
    <w:p>
      <w:pPr>
        <w:pBdr>
          <w:left w:val="single" w:color="1A2B4A" w:sz="6" w:space="8"/>
        </w:pBdr>
        <w:spacing w:before="40" w:after="80"/>
        <w:ind w:left="36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FR —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Obligatoire pour les déployeurs de systèmes IA à haut risque dans des secteurs spécifiques. Recommandé pour tous les systèmes.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200"/>
        <w:gridCol w:w="2600"/>
      </w:tblGrid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/ Droit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identified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Non-discrimination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 — description]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/ Vie privée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 — description]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Freedom of expression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 — description]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to explanation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 — description]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to justice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 — description]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dignity / Dignité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 — description]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  <w:tr>
        <w:tc>
          <w:tcPr>
            <w:tcW w:type="dxa" w:w="2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Labour rights / Travail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 — description]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[H/M/L]</w:t>
            </w:r>
          </w:p>
        </w:tc>
        <w:tc>
          <w:tcPr>
            <w:tcW w:type="dxa" w:w="2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[measure]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10.2 Equality &amp; Non-Discrimination Audit / Audit égalité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[Results of bias testing across protected characteristics: gender, age, ethnicity, disability, etc. / Résultats des tests de biais sur les caractéristiques protégées : genre, âge, ethnicité, handicap, etc.]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11 · Conformity Assessment / Évaluation de la conformité (Art. 43–49)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11.1 Assessment Route / Voie d'évaluation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200"/>
      </w:tblGrid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Voie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</w:t>
            </w:r>
          </w:p>
        </w:tc>
        <w:tc>
          <w:tcPr>
            <w:tcW w:type="dxa" w:w="4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assessment (Art. 43(2))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  <w:tc>
          <w:tcPr>
            <w:tcW w:type="dxa" w:w="4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Notified body (Art. 43(1))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  <w:tc>
          <w:tcPr>
            <w:tcW w:type="dxa" w:w="4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[body name / nom organisme]</w:t>
            </w:r>
          </w:p>
        </w:tc>
      </w:tr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Harmonised standards (Annex II)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  <w:tc>
          <w:tcPr>
            <w:tcW w:type="dxa" w:w="4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[standards list]</w:t>
            </w:r>
          </w:p>
        </w:tc>
      </w:tr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Common specifications</w:t>
            </w:r>
          </w:p>
        </w:tc>
        <w:tc>
          <w:tcPr>
            <w:tcW w:type="dxa" w:w="1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  <w:tc>
          <w:tcPr>
            <w:tcW w:type="dxa" w:w="4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[reference]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11.2 EU Declaration of Conformity (Art. 47)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 issued / DoC émise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/ In preparation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 reference / Référence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[document ID]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 date / Date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Signatory / Signataire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[Name, Title]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11.3 EU AI Office Registration (Art. 49)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Registration required / Requis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AI Database ID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[ID or N/A]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Registration date / Date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[YYYY-MM-DD or N/A]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12 · Post-Market Monitoring / Surveillance post-déploiement (Art. 72)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12.1 Monitoring Plan / Plan de surveillance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800"/>
        <w:gridCol w:w="2400"/>
      </w:tblGrid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Activité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monitoring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[Continuous]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[tool]</w:t>
            </w:r>
          </w:p>
        </w:tc>
      </w:tr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Bias drift / Dérive des biais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[Weekly]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[tool]</w:t>
            </w:r>
          </w:p>
        </w:tc>
      </w:tr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distribution shift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[Monthly]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[tool]</w:t>
            </w:r>
          </w:p>
        </w:tc>
      </w:tr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feedback analysis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[Monthly]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[tool]</w:t>
            </w:r>
          </w:p>
        </w:tc>
      </w:tr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 vulnerability scan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[Daily]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[tool]</w:t>
            </w:r>
          </w:p>
        </w:tc>
      </w:tr>
      <w:tr>
        <w:tc>
          <w:tcPr>
            <w:tcW w:type="dxa" w:w="3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Regulatory update review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[Quarterly]</w:t>
            </w:r>
          </w:p>
        </w:tc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[tool]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12.2 Serious Incident Reporting (Art. 73)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Reporting authority / Autorité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[National market surveillance authority]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Reporting timeline / Délai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[15 working days for serious incidents]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Escalation procedure / Escalade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[link/reference]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12.3 Version &amp; Update Management / Gestion des versions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[Policy for model updates, retraining triggers, version deprecation, and user communication / Politique de mises à jour, déclencheurs de réentraînement, dépréciation de version et communication utilisateurs]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13 · Incident Management / Gestion des incidents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13.1 Incident Classification / Classification des incidents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600"/>
        <w:gridCol w:w="2200"/>
      </w:tblGrid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/ Gravité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 / Délai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/ Critique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Rights violation, safety failure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4h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Authority + Users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/ Élevé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Significant accuracy/fairness degradation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24h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/ Moyen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degradation, minor bias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72h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/ Faible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Cosmetic, minor anomalies</w:t>
            </w:r>
          </w:p>
        </w:tc>
        <w:tc>
          <w:tcPr>
            <w:tcW w:type="dxa" w:w="1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7 days</w:t>
            </w:r>
          </w:p>
        </w:tc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only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13.2 Incident Register Template / Modèle de registre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INC-YYYY-NNN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detected / Détection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 HH:MM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Severity / Gravité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Critical / High / Medium / Low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cause / Cause racine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[analysis]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Affected users / Utilisateurs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[number / category]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Mitigation applied / Atténuation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[actions]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Resolution date / Résolution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Authority notified / Autorité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Yes / No — date 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Lessons learned / Leçons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[description]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14 · Sign-off &amp; Traceability / Validation et traçabilité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14.1 Review &amp; Approval / Revue et approbation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000"/>
        <w:gridCol w:w="1200"/>
      </w:tblGrid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Rôle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Nom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System Owner / Responsable IA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Protection Officer / DPO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CISO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Source Compliance Officer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Counsel / Conseil juridique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 Sponsor / Sponsor</w:t>
            </w:r>
          </w:p>
        </w:tc>
        <w:tc>
          <w:tcPr>
            <w:tcW w:type="dxa" w:w="24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14.2 Cryptographic Document Integrity</w:t>
      </w:r>
    </w:p>
    <w:p>
      <w:pPr>
        <w:spacing w:before="60" w:after="40"/>
        <w:ind w:left="360"/>
      </w:pPr>
      <w:r>
        <w:rPr>
          <w:rFonts w:ascii="Courier New" w:cs="Courier New" w:eastAsia="Courier New" w:hAnsi="Courier New"/>
          <w:b/>
          <w:bCs/>
          <w:color w:val="2E5B9E"/>
          <w:sz w:val="20"/>
          <w:szCs w:val="20"/>
        </w:rPr>
        <w:t xml:space="preserve">Document hash (SHA-256)  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[hash value]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2E5B9E"/>
          <w:sz w:val="20"/>
          <w:szCs w:val="20"/>
        </w:rPr>
        <w:t xml:space="preserve">Key fingerprint          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[fingerprint]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2E5B9E"/>
          <w:sz w:val="20"/>
          <w:szCs w:val="20"/>
        </w:rPr>
        <w:t xml:space="preserve">Signed by / Signé par    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[name, role]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2E5B9E"/>
          <w:sz w:val="20"/>
          <w:szCs w:val="20"/>
        </w:rPr>
        <w:t xml:space="preserve">Timestamp / Horodatage   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[ISO 8601]</w:t>
      </w:r>
    </w:p>
    <w:p>
      <w:pPr>
        <w:spacing w:before="40" w:after="80"/>
        <w:ind w:left="360"/>
      </w:pPr>
      <w:r>
        <w:rPr>
          <w:rFonts w:ascii="Courier New" w:cs="Courier New" w:eastAsia="Courier New" w:hAnsi="Courier New"/>
          <w:b/>
          <w:bCs/>
          <w:color w:val="2E5B9E"/>
          <w:sz w:val="20"/>
          <w:szCs w:val="20"/>
        </w:rPr>
        <w:t xml:space="preserve">GPG signature file       :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[filename.sig]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14.3 Retention &amp; Archival / Conservation et archivage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Champ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Valeur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 period / Durée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years minimum (Art. 18 AI Act)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Archive location / Localisation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[path / system]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control / Contrôle d'accès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[policy reference]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frequency / Sauvegardes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[policy]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5B9E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15 · Annexes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Annex A — Glossary / Glossaire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Terme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EN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 FR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System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Machine-based system that infers outputs from inputs for given objectives (EU AI Act Art. 3(1))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Système fondé sur des machines qui déduit des sorties à partir d'entrées pour des objectifs donnés (Art. 3(1))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High-risk AI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system listed in Annex III or posing safety risks per Annex I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Système d'IA figurant à l'Annexe III ou présentant des risques selon l'Annexe I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GPAI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General-Purpose AI model trained on broad data for diverse tasks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Modèle d'IA à usage général entraîné sur un large corpus pour des tâches diverses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OpenChain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ISO/IEC 5230 — standard for open source licence compliance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ISO/IEC 5230 — norme pour la conformité aux licences open source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SBOM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Bill of Materials — inventory of all software components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Nomenclature logicielle — inventaire de tous les composants logiciels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FRIA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Fundamental Rights Impact Assessment (Art. 27 AI Act)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Évaluation d'impact sur les droits fondamentaux (Art. 27 AI Act)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Declaration of Conformity (Art. 47 AI Act)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Déclaration UE de conformité (Art. 47 AI Act)</w:t>
            </w:r>
          </w:p>
        </w:tc>
      </w:tr>
      <w:tr>
        <w:tc>
          <w:tcPr>
            <w:tcW w:type="dxa" w:w="1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Design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requirements integrated at earliest design stage</w:t>
            </w:r>
          </w:p>
        </w:tc>
        <w:tc>
          <w:tcPr>
            <w:tcW w:type="dxa" w:w="36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Exigences de conformité intégrées dès les premières étapes de conception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Annex B — Applicable Regulations &amp; Standards / Réglementations et normes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/ Pertinence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(EU) 2024/1689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Artificial Intelligence Act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regulation / Règlement principal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(EU) 2016/679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protection / Protection des données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(EU) 2022/2555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NIS2 Directive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Cybersecurity / Cybersécurité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ISO/IEC 5230:2020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OpenChain (FOSS Compliance)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source governance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ISO/IEC 42001:2023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Management System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governance / Gouvernance IA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ISO/IEC 27001:2022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 Security Management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/ Sécurité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ISO/IEC 25010:2023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Quality (SQuaRE)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model / Qualité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NIST AI RMF 1.0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Risk Management Framework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management / Risques</w:t>
            </w:r>
          </w:p>
        </w:tc>
      </w:tr>
      <w:tr>
        <w:tc>
          <w:tcPr>
            <w:tcW w:type="dxa" w:w="2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(EU) 2024/2847</w:t>
            </w:r>
          </w:p>
        </w:tc>
        <w:tc>
          <w:tcPr>
            <w:tcW w:type="dxa" w:w="38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Cyber Resilience Act (CRA)</w:t>
            </w:r>
          </w:p>
        </w:tc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security / Sécurité produit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Annex C — Compliance Checklist / Liste de contrôle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High-Risk AI Systems / Systèmes IA à haut risque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Risk management system established (Art. 9) / Système de gestion des risques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Data governance procedures (Art. 10) / Procédures de gouvernance des données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Technical documentation complete (Art. 11) / Documentation technique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Record-keeping / Logging enabled (Art. 12) / Journalisation activée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Transparency to users (Art. 13) / Transparence utilisateurs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Human oversight measures (Art. 14) / Supervision humaine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Accuracy, robustness, cybersecurity (Art. 15)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Conformity assessment completed (Art. 43) / Évaluation de conformité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EU Declaration of Conformity issued (Art. 47) / DoC UE émise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CE marking affixed (Art. 48) / Marquage CE apposé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EU AI Database registration (Art. 49) / Enregistrement BDD 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Post-market monitoring plan (Art. 72) / Plan de surveillance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Serious incident reporting ready (Art. 73) / Notification incidents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Open Source Specifics / Spécificités Open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OpenChain compliance assessed / Conformité OpenChain évaluée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SBOM generated and published / SBOM généré et publié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Licence compatibility verified / Compatibilité des licences vérifiée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Open source exemption scope defined / Périmètre d'exemption défini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Community security disclosure policy / Politique de divulgation sécurité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Upstream vulnerability monitoring / Surveillance vulnérabilités amont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Contribution governance documented / Gouvernance des contributions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9E"/>
          <w:sz w:val="26"/>
          <w:szCs w:val="26"/>
        </w:rPr>
        <w:t xml:space="preserve">Annex D — References &amp; Tools / Références et outils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Ressource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AI Act official text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https://eur-lex.europa.eu/legal-content/EN/TXT/?uri=CELEX:32024R1689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AI Office / Bureau IA UE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https://digital-strategy.ec.europa.eu/en/policies/european-approach-artificial-intelligence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OpenChain Project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https://www.openchainproject.org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SPDX SBOM standard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https://spdx.dev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CycloneDX SBOM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https://cyclonedx.org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https://airc.nist.gov/RMF_Overview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42001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https://www.iso.org/standard/81230.html</w:t>
            </w:r>
          </w:p>
        </w:tc>
      </w:tr>
      <w:tr>
        <w:tc>
          <w:tcPr>
            <w:tcW w:type="dxa" w:w="32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ANSSI AI Security</w:t>
            </w:r>
          </w:p>
        </w:tc>
        <w:tc>
          <w:tcPr>
            <w:tcW w:type="dxa" w:w="6000"/>
            <w:tcBorders>
              <w:top w:val="single" w:color="AABFD8" w:sz="1"/>
              <w:left w:val="single" w:color="AABFD8" w:sz="1"/>
              <w:bottom w:val="single" w:color="AABFD8" w:sz="1"/>
              <w:right w:val="single" w:color="AABF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https://www.ssi.gouv.fr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Bdr>
          <w:top w:val="single" w:color="AABFD8" w:sz="2" w:space="4"/>
        </w:pBdr>
        <w:spacing w:before="8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Template prepared by: Technical Author  ·  Licence: CC BY-SA 4.0  ·  Based on EU AI Act (EU) 2024/1689, OpenChain ISO/IEC 5230, ISO/IEC 42001:2023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BFD8" w:sz="2" w:space="4"/>
      </w:pBdr>
      <w:spacing w:before="80" w:after="0"/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(EU) 2024/1689 · ISO/IEC 42001 · ISO/IEC 5230   |   </w:t>
    </w: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2E5B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9E" w:sz="2" w:space="4"/>
      </w:pBdr>
      <w:spacing w:before="0" w:after="80"/>
    </w:pPr>
    <w:r>
      <w:rPr>
        <w:rFonts w:ascii="Arial" w:cs="Arial" w:eastAsia="Arial" w:hAnsi="Arial"/>
        <w:color w:val="2E5B9E"/>
        <w:sz w:val="18"/>
        <w:szCs w:val="18"/>
      </w:rPr>
      <w:t xml:space="preserve">AI Act — Compliance by Design Dossier   |   Open Chain Edition</w:t>
    </w:r>
    <w:r>
      <w:rPr>
        <w:rFonts w:ascii="Arial" w:cs="Arial" w:eastAsia="Arial" w:hAnsi="Arial"/>
        <w:color w:val="AAAAAA"/>
        <w:sz w:val="18"/>
        <w:szCs w:val="18"/>
      </w:rPr>
      <w:t xml:space="preserve">   |   [ORG-YYYY-NNN]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B9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2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2026-02-26T07:13:29.736Z</dcterms:created>
  <dcterms:modified xsi:type="dcterms:W3CDTF">2026-02-26T07:13:29.736Z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