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Agora Framework ��� OSPO Policy Template</w:t>
      </w:r>
    </w:p>
    <w:p>
      <w:pPr>
        <w:pStyle w:val="Author"/>
      </w:pPr>
      <w:r>
        <w:t xml:space="preserve">IAAUTECO Inc.</w:t>
      </w:r>
    </w:p>
    <w:p>
      <w:pPr>
        <w:pStyle w:val="Date"/>
      </w:pPr>
      <w:r>
        <w:t xml:space="preserve">June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open-source-program-office-policy"/>
    <w:p>
      <w:pPr>
        <w:pStyle w:val="Heading1"/>
      </w:pPr>
      <w:r>
        <w:t xml:space="preserve">Open Source Program Office Policy</w:t>
      </w:r>
    </w:p>
    <w:bookmarkStart w:id="20" w:name="X2f9dfb32f86ba1519a79aa1754ec4122ff9dada"/>
    <w:p>
      <w:pPr>
        <w:pStyle w:val="Heading2"/>
      </w:pPr>
      <w:r>
        <w:t xml:space="preserve">[ORGANISATION NAME] — Institutional Open Source Policy</w:t>
      </w:r>
    </w:p>
    <w:p>
      <w:pPr>
        <w:pStyle w:val="FirstParagraph"/>
      </w:pPr>
      <w:r>
        <w:rPr>
          <w:bCs/>
          <w:b/>
        </w:rPr>
        <w:t xml:space="preserve">Document Reference:</w:t>
      </w:r>
      <w:r>
        <w:t xml:space="preserve"> </w:t>
      </w:r>
      <w:r>
        <w:t xml:space="preserve">[ORGANISATION-CODE]-OSPO-POL-001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[VERSION, e.g. 1.0]</w:t>
      </w:r>
      <w:r>
        <w:br/>
      </w:r>
      <w:r>
        <w:rPr>
          <w:bCs/>
          <w:b/>
        </w:rPr>
        <w:t xml:space="preserve">Date of Adoption:</w:t>
      </w:r>
      <w:r>
        <w:t xml:space="preserve"> </w:t>
      </w:r>
      <w:r>
        <w:t xml:space="preserve">[DATE]</w:t>
      </w:r>
      <w:r>
        <w:br/>
      </w:r>
      <w:r>
        <w:rPr>
          <w:bCs/>
          <w:b/>
        </w:rPr>
        <w:t xml:space="preserve">Date of Next Review:</w:t>
      </w:r>
      <w:r>
        <w:t xml:space="preserve"> </w:t>
      </w:r>
      <w:r>
        <w:t xml:space="preserve">[DATE + 2 YEARS]</w:t>
      </w:r>
      <w:r>
        <w:br/>
      </w:r>
      <w:r>
        <w:rPr>
          <w:bCs/>
          <w:b/>
        </w:rPr>
        <w:t xml:space="preserve">Approved by:</w:t>
      </w:r>
      <w:r>
        <w:t xml:space="preserve"> </w:t>
      </w:r>
      <w:r>
        <w:t xml:space="preserve">[GOVERNING BODY OR EXECUTIVE TITLE]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Open Source Program Office / [RESPONSIBLE UNIT]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Public</w:t>
      </w:r>
    </w:p>
    <w:p>
      <w:r>
        <w:pict>
          <v:rect style="width:0;height:1.5pt" o:hralign="center" o:hrstd="t" o:hr="t"/>
        </w:pict>
      </w:r>
    </w:p>
    <w:bookmarkEnd w:id="20"/>
    <w:bookmarkStart w:id="24" w:name="purpose-and-scope"/>
    <w:p>
      <w:pPr>
        <w:pStyle w:val="Heading2"/>
      </w:pPr>
      <w:r>
        <w:t xml:space="preserve">1. Purpose and Scope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Policy establishes the institutional framework governing [ORGANISATION NAME]’s engagement with open source software across all phases of the software lifecycle: consumption, contribution, publication, security management, and community engagement.</w:t>
      </w:r>
    </w:p>
    <w:p>
      <w:pPr>
        <w:pStyle w:val="BodyText"/>
      </w:pPr>
      <w:r>
        <w:t xml:space="preserve">The objective of this Policy is to:</w:t>
      </w:r>
    </w:p>
    <w:p>
      <w:pPr>
        <w:numPr>
          <w:ilvl w:val="0"/>
          <w:numId w:val="1001"/>
        </w:numPr>
        <w:pStyle w:val="Compact"/>
      </w:pPr>
      <w:r>
        <w:t xml:space="preserve">Ensure legal compliance with the licence conditions applicable to all open source software used or published by [ORGANISATION NAME]</w:t>
      </w:r>
    </w:p>
    <w:p>
      <w:pPr>
        <w:numPr>
          <w:ilvl w:val="0"/>
          <w:numId w:val="1001"/>
        </w:numPr>
        <w:pStyle w:val="Compact"/>
      </w:pPr>
      <w:r>
        <w:t xml:space="preserve">Manage the security risks arising from open source dependencies</w:t>
      </w:r>
    </w:p>
    <w:p>
      <w:pPr>
        <w:numPr>
          <w:ilvl w:val="0"/>
          <w:numId w:val="1001"/>
        </w:numPr>
        <w:pStyle w:val="Compact"/>
      </w:pPr>
      <w:r>
        <w:t xml:space="preserve">Enable and structure the organisation’s contributions to the open source ecosystem</w:t>
      </w:r>
    </w:p>
    <w:p>
      <w:pPr>
        <w:numPr>
          <w:ilvl w:val="0"/>
          <w:numId w:val="1001"/>
        </w:numPr>
        <w:pStyle w:val="Compact"/>
      </w:pPr>
      <w:r>
        <w:t xml:space="preserve">Align open source engagement with the organisation’s strategic objectives, digital sovereignty commitments, and applicable regulatory obligations</w:t>
      </w:r>
    </w:p>
    <w:p>
      <w:pPr>
        <w:numPr>
          <w:ilvl w:val="0"/>
          <w:numId w:val="1001"/>
        </w:numPr>
        <w:pStyle w:val="Compact"/>
      </w:pPr>
      <w:r>
        <w:t xml:space="preserve">Provide clear guidance to all staff engaged in software-related activities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Policy applies to:</w:t>
      </w:r>
    </w:p>
    <w:p>
      <w:pPr>
        <w:numPr>
          <w:ilvl w:val="0"/>
          <w:numId w:val="1002"/>
        </w:numPr>
        <w:pStyle w:val="Compact"/>
      </w:pPr>
      <w:r>
        <w:t xml:space="preserve">All staff, contractors, and consultants acting on behalf of [ORGANISATION NAME]</w:t>
      </w:r>
    </w:p>
    <w:p>
      <w:pPr>
        <w:numPr>
          <w:ilvl w:val="0"/>
          <w:numId w:val="1002"/>
        </w:numPr>
        <w:pStyle w:val="Compact"/>
      </w:pPr>
      <w:r>
        <w:t xml:space="preserve">All software consumed by [ORGANISATION NAME], including but not limited to open source libraries, frameworks, tools, operating system components, and services</w:t>
      </w:r>
    </w:p>
    <w:p>
      <w:pPr>
        <w:numPr>
          <w:ilvl w:val="0"/>
          <w:numId w:val="1002"/>
        </w:numPr>
        <w:pStyle w:val="Compact"/>
      </w:pPr>
      <w:r>
        <w:t xml:space="preserve">All software developed by or on behalf of [ORGANISATION NAME], whether for internal use or external publication</w:t>
      </w:r>
    </w:p>
    <w:p>
      <w:pPr>
        <w:numPr>
          <w:ilvl w:val="0"/>
          <w:numId w:val="1002"/>
        </w:numPr>
        <w:pStyle w:val="Compact"/>
      </w:pPr>
      <w:r>
        <w:t xml:space="preserve">All contributions to external open source projects made on behalf of or with the resources of [ORGANISATION NAME]</w:t>
      </w:r>
    </w:p>
    <w:bookmarkEnd w:id="22"/>
    <w:bookmarkStart w:id="23" w:name="exclusions"/>
    <w:p>
      <w:pPr>
        <w:pStyle w:val="Heading3"/>
      </w:pPr>
      <w:r>
        <w:t xml:space="preserve">1.3 Exclusions</w:t>
      </w:r>
    </w:p>
    <w:p>
      <w:pPr>
        <w:pStyle w:val="FirstParagraph"/>
      </w:pPr>
      <w:r>
        <w:t xml:space="preserve">The following are excluded from the scope of this Policy: [LIST ANY SPECIFIC EXCLUSIONS, e.g. evaluation/prototype environments subject to separate policy, specific legacy systems with documented exemptions].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finitions"/>
    <w:p>
      <w:pPr>
        <w:pStyle w:val="Heading2"/>
      </w:pPr>
      <w:r>
        <w:t xml:space="preserve">2. Definitions</w:t>
      </w:r>
    </w:p>
    <w:p>
      <w:pPr>
        <w:pStyle w:val="FirstParagraph"/>
      </w:pPr>
      <w:r>
        <w:t xml:space="preserve">For the purposes of this Policy, the following definitions apply: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Source Software (OSS)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distributed under a licence approved by the Open Source Initiative (OSI) or the Free Software Foundation (FSF) that grants the rights to use, study, modify, and distribute the software and its source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Open Source Program Office of [ORGANISATION NAME], the institutional function responsible for implementing and enforcing this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open source component incorporated into a software system, whether directly or transitively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Bill of Materials: a structured inventory of all software components and their associated metadata, including licence information and version identifiers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submission to an external open source project, including source code, documentation, test cases, issue reports, translations, or design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release of software developed by or for [ORGANISATION NAME] under an open source 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Copyleft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 of open source licences that require derivative works to be distributed under the same or a compatible 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Permissive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open source licence that permits incorporation into proprietary software without imposing copyleft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Inner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of open source contribution and governance practices to internal software development, without public publication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0" w:name="institutional-mandate"/>
    <w:p>
      <w:pPr>
        <w:pStyle w:val="Heading2"/>
      </w:pPr>
      <w:r>
        <w:t xml:space="preserve">3. Institutional Mandate</w:t>
      </w:r>
    </w:p>
    <w:bookmarkStart w:id="26" w:name="establishment-of-the-ospo"/>
    <w:p>
      <w:pPr>
        <w:pStyle w:val="Heading3"/>
      </w:pPr>
      <w:r>
        <w:t xml:space="preserve">3.1 Establishment of the OSPO</w:t>
      </w:r>
    </w:p>
    <w:p>
      <w:pPr>
        <w:pStyle w:val="FirstParagraph"/>
      </w:pPr>
      <w:r>
        <w:t xml:space="preserve">[ORGANISATION NAME] hereby establishes the Open Source Program Office (OSPO) as the institutional function responsible for open source governance.</w:t>
      </w:r>
    </w:p>
    <w:bookmarkEnd w:id="26"/>
    <w:bookmarkStart w:id="27" w:name="ospo-mission"/>
    <w:p>
      <w:pPr>
        <w:pStyle w:val="Heading3"/>
      </w:pPr>
      <w:r>
        <w:t xml:space="preserve">3.2 OSPO Mission</w:t>
      </w:r>
    </w:p>
    <w:p>
      <w:pPr>
        <w:pStyle w:val="FirstParagraph"/>
      </w:pPr>
      <w:r>
        <w:t xml:space="preserve">The mission of the OSPO is to:</w:t>
      </w:r>
    </w:p>
    <w:p>
      <w:pPr>
        <w:numPr>
          <w:ilvl w:val="0"/>
          <w:numId w:val="1003"/>
        </w:numPr>
        <w:pStyle w:val="Compact"/>
      </w:pPr>
      <w:r>
        <w:t xml:space="preserve">Enable [ORGANISATION NAME] to realise the strategic benefits of open source software</w:t>
      </w:r>
    </w:p>
    <w:p>
      <w:pPr>
        <w:numPr>
          <w:ilvl w:val="0"/>
          <w:numId w:val="1003"/>
        </w:numPr>
        <w:pStyle w:val="Compact"/>
      </w:pPr>
      <w:r>
        <w:t xml:space="preserve">Ensure legal, security, and policy compliance in all open source activities</w:t>
      </w:r>
    </w:p>
    <w:p>
      <w:pPr>
        <w:numPr>
          <w:ilvl w:val="0"/>
          <w:numId w:val="1003"/>
        </w:numPr>
        <w:pStyle w:val="Compact"/>
      </w:pPr>
      <w:r>
        <w:t xml:space="preserve">Build institutional capacity for responsible and sustainable open source engagement</w:t>
      </w:r>
    </w:p>
    <w:p>
      <w:pPr>
        <w:numPr>
          <w:ilvl w:val="0"/>
          <w:numId w:val="1003"/>
        </w:numPr>
        <w:pStyle w:val="Compact"/>
      </w:pPr>
      <w:r>
        <w:t xml:space="preserve">Represent [ORGANISATION NAME] in the open source ecosystem</w:t>
      </w:r>
    </w:p>
    <w:bookmarkEnd w:id="27"/>
    <w:bookmarkStart w:id="28" w:name="ospo-authority"/>
    <w:p>
      <w:pPr>
        <w:pStyle w:val="Heading3"/>
      </w:pPr>
      <w:r>
        <w:t xml:space="preserve">3.3 OSPO Authority</w:t>
      </w:r>
    </w:p>
    <w:p>
      <w:pPr>
        <w:pStyle w:val="FirstParagraph"/>
      </w:pPr>
      <w:r>
        <w:t xml:space="preserve">The OSPO is hereby authorised to:</w:t>
      </w:r>
    </w:p>
    <w:p>
      <w:pPr>
        <w:numPr>
          <w:ilvl w:val="0"/>
          <w:numId w:val="1004"/>
        </w:numPr>
        <w:pStyle w:val="Compact"/>
      </w:pPr>
      <w:r>
        <w:t xml:space="preserve">Develop, maintain, and enforce open source policies on behalf of [ORGANISATION NAME]</w:t>
      </w:r>
    </w:p>
    <w:p>
      <w:pPr>
        <w:numPr>
          <w:ilvl w:val="0"/>
          <w:numId w:val="1004"/>
        </w:numPr>
        <w:pStyle w:val="Compact"/>
      </w:pPr>
      <w:r>
        <w:t xml:space="preserve">Approve or reject requests for contribution to or publication of open source software</w:t>
      </w:r>
    </w:p>
    <w:p>
      <w:pPr>
        <w:numPr>
          <w:ilvl w:val="0"/>
          <w:numId w:val="1004"/>
        </w:numPr>
        <w:pStyle w:val="Compact"/>
      </w:pPr>
      <w:r>
        <w:t xml:space="preserve">Require units and projects to provide information necessary for compliance verification</w:t>
      </w:r>
    </w:p>
    <w:p>
      <w:pPr>
        <w:numPr>
          <w:ilvl w:val="0"/>
          <w:numId w:val="1004"/>
        </w:numPr>
        <w:pStyle w:val="Compact"/>
      </w:pPr>
      <w:r>
        <w:t xml:space="preserve">Engage on behalf of [ORGANISATION NAME] in open source community and governance forums</w:t>
      </w:r>
    </w:p>
    <w:p>
      <w:pPr>
        <w:numPr>
          <w:ilvl w:val="0"/>
          <w:numId w:val="1004"/>
        </w:numPr>
        <w:pStyle w:val="Compact"/>
      </w:pPr>
      <w:r>
        <w:t xml:space="preserve">Procure tooling and services necessary for the performance of its functions</w:t>
      </w:r>
    </w:p>
    <w:bookmarkEnd w:id="28"/>
    <w:bookmarkStart w:id="29" w:name="ospo-reporting"/>
    <w:p>
      <w:pPr>
        <w:pStyle w:val="Heading3"/>
      </w:pPr>
      <w:r>
        <w:t xml:space="preserve">3.4 OSPO Reporting</w:t>
      </w:r>
    </w:p>
    <w:p>
      <w:pPr>
        <w:pStyle w:val="FirstParagraph"/>
      </w:pPr>
      <w:r>
        <w:t xml:space="preserve">The OSPO reports to [TITLE OF RESPONSIBLE EXECUTIVE, e.g. Chief Information Officer / Director of Digital Services] and provides [QUARTERLY/ANNUAL] reports to [GOVERNING BODY].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onsumption-policy"/>
    <w:p>
      <w:pPr>
        <w:pStyle w:val="Heading2"/>
      </w:pPr>
      <w:r>
        <w:t xml:space="preserve">4. Consumption Policy</w:t>
      </w:r>
    </w:p>
    <w:bookmarkStart w:id="31" w:name="licence-classification"/>
    <w:p>
      <w:pPr>
        <w:pStyle w:val="Heading3"/>
      </w:pPr>
      <w:r>
        <w:t xml:space="preserve">4.1 Licence Classification</w:t>
      </w:r>
    </w:p>
    <w:p>
      <w:pPr>
        <w:pStyle w:val="FirstParagraph"/>
      </w:pPr>
      <w:r>
        <w:t xml:space="preserve">[ORGANISATION NAME] classifies open source licences into three categories:</w:t>
      </w:r>
    </w:p>
    <w:p>
      <w:pPr>
        <w:pStyle w:val="BodyText"/>
      </w:pPr>
      <w:r>
        <w:rPr>
          <w:bCs/>
          <w:b/>
        </w:rPr>
        <w:t xml:space="preserve">Category A — Approved for general use:</w:t>
      </w:r>
      <w:r>
        <w:t xml:space="preserve"> </w:t>
      </w:r>
      <w:r>
        <w:t xml:space="preserve">Permissive licences that impose minimal obligations and are compatible with all internal and external uses.</w:t>
      </w:r>
    </w:p>
    <w:p>
      <w:pPr>
        <w:pStyle w:val="BodyText"/>
      </w:pPr>
      <w:r>
        <w:rPr>
          <w:iCs/>
          <w:i/>
        </w:rPr>
        <w:t xml:space="preserve">Examples</w:t>
      </w:r>
      <w:r>
        <w:t xml:space="preserve">: MIT, Apache 2.0, BSD 2-Clause, BSD 3-Clause, ISC, EUPL-1.2 (in consumption contexts)</w:t>
      </w:r>
    </w:p>
    <w:p>
      <w:pPr>
        <w:pStyle w:val="BodyText"/>
      </w:pPr>
      <w:r>
        <w:rPr>
          <w:bCs/>
          <w:b/>
        </w:rPr>
        <w:t xml:space="preserve">Category B — Conditionally approved:</w:t>
      </w:r>
      <w:r>
        <w:t xml:space="preserve"> </w:t>
      </w:r>
      <w:r>
        <w:t xml:space="preserve">Licences that may be used subject to specific conditions or OSPO review, including weak copyleft licences.</w:t>
      </w:r>
    </w:p>
    <w:p>
      <w:pPr>
        <w:pStyle w:val="BodyText"/>
      </w:pPr>
      <w:r>
        <w:rPr>
          <w:iCs/>
          <w:i/>
        </w:rPr>
        <w:t xml:space="preserve">Examples</w:t>
      </w:r>
      <w:r>
        <w:t xml:space="preserve">: LGPL-2.1, LGPL-3.0, MPL-2.0, CDDL</w:t>
      </w:r>
    </w:p>
    <w:p>
      <w:pPr>
        <w:pStyle w:val="BodyText"/>
      </w:pPr>
      <w:r>
        <w:rPr>
          <w:bCs/>
          <w:b/>
        </w:rPr>
        <w:t xml:space="preserve">Category C — Restricted:</w:t>
      </w:r>
      <w:r>
        <w:t xml:space="preserve"> </w:t>
      </w:r>
      <w:r>
        <w:t xml:space="preserve">Strong copyleft licences that impose significant distribution obligations. Use requires OSPO review and approval. Distribution of Category C-licensed components in external-facing software products is prohibited without explicit OSPO authorisation.</w:t>
      </w:r>
    </w:p>
    <w:p>
      <w:pPr>
        <w:pStyle w:val="BodyText"/>
      </w:pPr>
      <w:r>
        <w:rPr>
          <w:iCs/>
          <w:i/>
        </w:rPr>
        <w:t xml:space="preserve">Examples</w:t>
      </w:r>
      <w:r>
        <w:t xml:space="preserve">: GPL-2.0, GPL-3.0, AGPL-3.0</w:t>
      </w:r>
    </w:p>
    <w:p>
      <w:pPr>
        <w:pStyle w:val="BodyText"/>
      </w:pPr>
      <w:r>
        <w:rPr>
          <w:bCs/>
          <w:b/>
        </w:rPr>
        <w:t xml:space="preserve">Category D — Prohibited:</w:t>
      </w:r>
      <w:r>
        <w:t xml:space="preserve"> </w:t>
      </w:r>
      <w:r>
        <w:t xml:space="preserve">Licences that are incompatible with [ORGANISATION NAME]’s legal or operational requirements.</w:t>
      </w:r>
    </w:p>
    <w:p>
      <w:pPr>
        <w:pStyle w:val="BodyText"/>
      </w:pPr>
      <w:r>
        <w:rPr>
          <w:iCs/>
          <w:i/>
        </w:rPr>
        <w:t xml:space="preserve">Examples</w:t>
      </w:r>
      <w:r>
        <w:t xml:space="preserve">: Non-commercial licences, proprietary</w:t>
      </w:r>
      <w:r>
        <w:t xml:space="preserve"> </w:t>
      </w:r>
      <w:r>
        <w:t xml:space="preserve">“</w:t>
      </w:r>
      <w:r>
        <w:t xml:space="preserve">open source</w:t>
      </w:r>
      <w:r>
        <w:t xml:space="preserve">”</w:t>
      </w:r>
      <w:r>
        <w:t xml:space="preserve"> </w:t>
      </w:r>
      <w:r>
        <w:t xml:space="preserve">licences, licences with jurisdiction-restriction clauses incompatible with applicable law</w:t>
      </w:r>
    </w:p>
    <w:bookmarkEnd w:id="31"/>
    <w:bookmarkStart w:id="32" w:name="dependency-management-obligations"/>
    <w:p>
      <w:pPr>
        <w:pStyle w:val="Heading3"/>
      </w:pPr>
      <w:r>
        <w:t xml:space="preserve">4.2 Dependency Management Obligations</w:t>
      </w:r>
    </w:p>
    <w:p>
      <w:pPr>
        <w:pStyle w:val="FirstParagraph"/>
      </w:pPr>
      <w:r>
        <w:t xml:space="preserve">All software projects within scope MUST:</w:t>
      </w:r>
    </w:p>
    <w:p>
      <w:pPr>
        <w:pStyle w:val="BodyText"/>
      </w:pPr>
      <w:r>
        <w:t xml:space="preserve">4.2.1 Maintain an accurate, current SBOM for all open source dependencies, generated using OSPO-approved tooling.</w:t>
      </w:r>
    </w:p>
    <w:p>
      <w:pPr>
        <w:pStyle w:val="BodyText"/>
      </w:pPr>
      <w:r>
        <w:t xml:space="preserve">4.2.2 Register the SBOM with the OSPO in accordance with the procedures set out in [OSPO PROCEDURES DOCUMENT].</w:t>
      </w:r>
    </w:p>
    <w:p>
      <w:pPr>
        <w:pStyle w:val="BodyText"/>
      </w:pPr>
      <w:r>
        <w:t xml:space="preserve">4.2.3 Update the SBOM upon any change to the dependency set (addition, removal, or version change).</w:t>
      </w:r>
    </w:p>
    <w:p>
      <w:pPr>
        <w:pStyle w:val="BodyText"/>
      </w:pPr>
      <w:r>
        <w:t xml:space="preserve">4.2.4 Ensure that no Component classified as Category C or D is incorporated into a software product distributed externally without prior written authorisation from the OSPO.</w:t>
      </w:r>
    </w:p>
    <w:bookmarkEnd w:id="32"/>
    <w:bookmarkStart w:id="33" w:name="security-due-diligence"/>
    <w:p>
      <w:pPr>
        <w:pStyle w:val="Heading3"/>
      </w:pPr>
      <w:r>
        <w:t xml:space="preserve">4.3 Security Due Diligence</w:t>
      </w:r>
    </w:p>
    <w:p>
      <w:pPr>
        <w:pStyle w:val="FirstParagraph"/>
      </w:pPr>
      <w:r>
        <w:t xml:space="preserve">Prior to incorporating a new open source dependency, the responsible team MUST conduct a security assessment that includes:</w:t>
      </w:r>
    </w:p>
    <w:p>
      <w:pPr>
        <w:pStyle w:val="BodyText"/>
      </w:pPr>
      <w:r>
        <w:t xml:space="preserve">4.3.1 Review of known vulnerabilities in current and recent versions using authoritative databases (CVE, OSV, or equivalent).</w:t>
      </w:r>
    </w:p>
    <w:p>
      <w:pPr>
        <w:pStyle w:val="BodyText"/>
      </w:pPr>
      <w:r>
        <w:t xml:space="preserve">4.3.2 Assessment of community health indicators including maintenance activity, issue responsiveness, and release cadence.</w:t>
      </w:r>
    </w:p>
    <w:p>
      <w:pPr>
        <w:pStyle w:val="BodyText"/>
      </w:pPr>
      <w:r>
        <w:t xml:space="preserve">4.3.3 Verification of the integrity of downloaded components (checksum verification, where signing is not available).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ontribution-policy"/>
    <w:p>
      <w:pPr>
        <w:pStyle w:val="Heading2"/>
      </w:pPr>
      <w:r>
        <w:t xml:space="preserve">5. Contribution Policy</w:t>
      </w:r>
    </w:p>
    <w:bookmarkStart w:id="35" w:name="general-principles"/>
    <w:p>
      <w:pPr>
        <w:pStyle w:val="Heading3"/>
      </w:pPr>
      <w:r>
        <w:t xml:space="preserve">5.1 General Principles</w:t>
      </w:r>
    </w:p>
    <w:p>
      <w:pPr>
        <w:pStyle w:val="FirstParagraph"/>
      </w:pPr>
      <w:r>
        <w:t xml:space="preserve">[ORGANISATION NAME] recognises that contribution to open source projects is a legitimate and strategically valuable activity that supports the sustainability of the open source ecosystem on which the organisation depends. Contribution is encouraged subject to the conditions of this section.</w:t>
      </w:r>
    </w:p>
    <w:bookmarkEnd w:id="35"/>
    <w:bookmarkStart w:id="36" w:name="authorisation-for-contribution"/>
    <w:p>
      <w:pPr>
        <w:pStyle w:val="Heading3"/>
      </w:pPr>
      <w:r>
        <w:t xml:space="preserve">5.2 Authorisation for Contribution</w:t>
      </w:r>
    </w:p>
    <w:p>
      <w:pPr>
        <w:pStyle w:val="FirstParagraph"/>
      </w:pPr>
      <w:r>
        <w:t xml:space="preserve">5.2.1 Contributions to open source projects that have been designated as</w:t>
      </w:r>
      <w:r>
        <w:t xml:space="preserve"> </w:t>
      </w:r>
      <w:r>
        <w:rPr>
          <w:bCs/>
          <w:b/>
        </w:rPr>
        <w:t xml:space="preserve">strategic projects</w:t>
      </w:r>
      <w:r>
        <w:t xml:space="preserve"> </w:t>
      </w:r>
      <w:r>
        <w:t xml:space="preserve">by the OSPO MAY be made without individual prior authorisation, subject to the standing conditions in Section 5.3.</w:t>
      </w:r>
    </w:p>
    <w:p>
      <w:pPr>
        <w:pStyle w:val="BodyText"/>
      </w:pPr>
      <w:r>
        <w:t xml:space="preserve">5.2.2 Contributions to projects not designated as strategic SHOULD be authorised by the OSPO prior to submission. The OSPO MUST respond to authorisation requests within [10] business days.</w:t>
      </w:r>
    </w:p>
    <w:p>
      <w:pPr>
        <w:pStyle w:val="BodyText"/>
      </w:pPr>
      <w:r>
        <w:t xml:space="preserve">5.2.3 Contributions involving the disclosure of code that was developed under contract or that may contain third-party intellectual property MUST be authorised by the OSPO and, where required, by [LEGAL FUNCTION].</w:t>
      </w:r>
    </w:p>
    <w:bookmarkEnd w:id="36"/>
    <w:bookmarkStart w:id="37" w:name="standing-conditions-for-contribution"/>
    <w:p>
      <w:pPr>
        <w:pStyle w:val="Heading3"/>
      </w:pPr>
      <w:r>
        <w:t xml:space="preserve">5.3 Standing Conditions for Contribution</w:t>
      </w:r>
    </w:p>
    <w:p>
      <w:pPr>
        <w:pStyle w:val="FirstParagraph"/>
      </w:pPr>
      <w:r>
        <w:t xml:space="preserve">All contributions made on behalf of [ORGANISATION NAME] MUST:</w:t>
      </w:r>
    </w:p>
    <w:p>
      <w:pPr>
        <w:pStyle w:val="BodyText"/>
      </w:pPr>
      <w:r>
        <w:t xml:space="preserve">5.3.1 Be made under the licence designated by the receiving project, which MUST be a licence on the OSI-approved licence list or an equivalent open source licence.</w:t>
      </w:r>
    </w:p>
    <w:p>
      <w:pPr>
        <w:pStyle w:val="BodyText"/>
      </w:pPr>
      <w:r>
        <w:t xml:space="preserve">5.3.2 Not include materials whose intellectual property is owned by a third party without the express written permission of that party.</w:t>
      </w:r>
    </w:p>
    <w:p>
      <w:pPr>
        <w:pStyle w:val="BodyText"/>
      </w:pPr>
      <w:r>
        <w:t xml:space="preserve">5.3.3 Not disclose confidential, security-sensitive, or personal data.</w:t>
      </w:r>
    </w:p>
    <w:p>
      <w:pPr>
        <w:pStyle w:val="BodyText"/>
      </w:pPr>
      <w:r>
        <w:t xml:space="preserve">5.3.4 Be recorded in the OSPO contribution register within [5] business days of submission.</w:t>
      </w:r>
    </w:p>
    <w:p>
      <w:pPr>
        <w:pStyle w:val="BodyText"/>
      </w:pPr>
      <w:r>
        <w:t xml:space="preserve">5.3.5 Be attributed to [ORGANISATION NAME] where the project’s contributor requirements and the nature of the contribution make attribution appropriate.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ublication-policy"/>
    <w:p>
      <w:pPr>
        <w:pStyle w:val="Heading2"/>
      </w:pPr>
      <w:r>
        <w:t xml:space="preserve">6. Publication Policy</w:t>
      </w:r>
    </w:p>
    <w:bookmarkStart w:id="39" w:name="publication-criteria"/>
    <w:p>
      <w:pPr>
        <w:pStyle w:val="Heading3"/>
      </w:pPr>
      <w:r>
        <w:t xml:space="preserve">6.1 Publication Criteria</w:t>
      </w:r>
    </w:p>
    <w:p>
      <w:pPr>
        <w:pStyle w:val="FirstParagraph"/>
      </w:pPr>
      <w:r>
        <w:t xml:space="preserve">Software developed by or for [ORGANISATION NAME] MAY be published as open source where the following criteria are met:</w:t>
      </w:r>
    </w:p>
    <w:p>
      <w:pPr>
        <w:pStyle w:val="BodyText"/>
      </w:pPr>
      <w:r>
        <w:t xml:space="preserve">6.1.1 The software has potential utility for other organisations or the public beyond its original internal purpose.</w:t>
      </w:r>
    </w:p>
    <w:p>
      <w:pPr>
        <w:pStyle w:val="BodyText"/>
      </w:pPr>
      <w:r>
        <w:t xml:space="preserve">6.1.2 Publication is not restricted by third-party contractual obligations, national security classifications, or data protection obligations.</w:t>
      </w:r>
    </w:p>
    <w:p>
      <w:pPr>
        <w:pStyle w:val="BodyText"/>
      </w:pPr>
      <w:r>
        <w:t xml:space="preserve">6.1.3 The publishing unit commits to maintaining the published software for a minimum period of [24] months, or provides for an explicit sunset process.</w:t>
      </w:r>
    </w:p>
    <w:p>
      <w:pPr>
        <w:pStyle w:val="BodyText"/>
      </w:pPr>
      <w:r>
        <w:t xml:space="preserve">6.1.4 The software meets the quality, documentation, and security standards set out in the OSPO Publication Guidelines.</w:t>
      </w:r>
    </w:p>
    <w:bookmarkEnd w:id="39"/>
    <w:bookmarkStart w:id="40" w:name="licence-selection-for-publication"/>
    <w:p>
      <w:pPr>
        <w:pStyle w:val="Heading3"/>
      </w:pPr>
      <w:r>
        <w:t xml:space="preserve">6.2 Licence Selection for Publication</w:t>
      </w:r>
    </w:p>
    <w:p>
      <w:pPr>
        <w:pStyle w:val="FirstParagraph"/>
      </w:pPr>
      <w:r>
        <w:t xml:space="preserve">When publishing software as open source, [ORGANISATION NAME] SHOULD use the</w:t>
      </w:r>
      <w:r>
        <w:t xml:space="preserve"> </w:t>
      </w:r>
      <w:r>
        <w:rPr>
          <w:bCs/>
          <w:b/>
        </w:rPr>
        <w:t xml:space="preserve">European Union Public Licence v1.2 (EUPL-1.2)</w:t>
      </w:r>
      <w:r>
        <w:t xml:space="preserve"> </w:t>
      </w:r>
      <w:r>
        <w:t xml:space="preserve">as the default licence, reflecting the organisation’s European public mandate and the EUPL’s compatibility with the GPL licence family.</w:t>
      </w:r>
    </w:p>
    <w:p>
      <w:pPr>
        <w:pStyle w:val="BodyText"/>
      </w:pPr>
      <w:r>
        <w:t xml:space="preserve">Deviation from the default licence requires OSPO authorisation and documented justification.</w:t>
      </w:r>
    </w:p>
    <w:bookmarkEnd w:id="40"/>
    <w:bookmarkStart w:id="41" w:name="publication-requirements"/>
    <w:p>
      <w:pPr>
        <w:pStyle w:val="Heading3"/>
      </w:pPr>
      <w:r>
        <w:t xml:space="preserve">6.3 Publication Requirements</w:t>
      </w:r>
    </w:p>
    <w:p>
      <w:pPr>
        <w:pStyle w:val="FirstParagraph"/>
      </w:pPr>
      <w:r>
        <w:t xml:space="preserve">All published open source software MUST:</w:t>
      </w:r>
    </w:p>
    <w:p>
      <w:pPr>
        <w:pStyle w:val="BodyText"/>
      </w:pPr>
      <w:r>
        <w:t xml:space="preserve">6.3.1 Include REUSE-compliant copyright and licence headers in all source files.</w:t>
      </w:r>
    </w:p>
    <w:p>
      <w:pPr>
        <w:pStyle w:val="BodyText"/>
      </w:pPr>
      <w:r>
        <w:t xml:space="preserve">6.3.2 Include a</w:t>
      </w:r>
      <w:r>
        <w:t xml:space="preserve"> </w:t>
      </w:r>
      <w:r>
        <w:rPr>
          <w:rStyle w:val="VerbatimChar"/>
        </w:rPr>
        <w:t xml:space="preserve">publiccode.yml</w:t>
      </w:r>
      <w:r>
        <w:t xml:space="preserve"> </w:t>
      </w:r>
      <w:r>
        <w:t xml:space="preserve">file providing machine-readable metadata compliant with the publiccode.yml standard.</w:t>
      </w:r>
    </w:p>
    <w:p>
      <w:pPr>
        <w:pStyle w:val="BodyText"/>
      </w:pPr>
      <w:r>
        <w:t xml:space="preserve">6.3.3 Include a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CONTRIBUTING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CODE_OF_CONDUCT</w:t>
      </w:r>
      <w:r>
        <w:t xml:space="preserve"> </w:t>
      </w:r>
      <w:r>
        <w:t xml:space="preserve">document meeting the standards set out in the OSPO Publication Guidelines.</w:t>
      </w:r>
    </w:p>
    <w:p>
      <w:pPr>
        <w:pStyle w:val="BodyText"/>
      </w:pPr>
      <w:r>
        <w:t xml:space="preserve">6.3.4 Be registered in the OSPO software publication register.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ecurity-policy"/>
    <w:p>
      <w:pPr>
        <w:pStyle w:val="Heading2"/>
      </w:pPr>
      <w:r>
        <w:t xml:space="preserve">7. Security Policy</w:t>
      </w:r>
    </w:p>
    <w:bookmarkStart w:id="43" w:name="supply-chain-security"/>
    <w:p>
      <w:pPr>
        <w:pStyle w:val="Heading3"/>
      </w:pPr>
      <w:r>
        <w:t xml:space="preserve">7.1 Supply Chain Security</w:t>
      </w:r>
    </w:p>
    <w:p>
      <w:pPr>
        <w:pStyle w:val="FirstParagraph"/>
      </w:pPr>
      <w:r>
        <w:t xml:space="preserve">7.1.1 [ORGANISATION NAME] MUST maintain an up-to-date SBOM for all software systems in scope, in a format compliant with SPDX ISO/IEC 5962 or CycloneDX.</w:t>
      </w:r>
    </w:p>
    <w:p>
      <w:pPr>
        <w:pStyle w:val="BodyText"/>
      </w:pPr>
      <w:r>
        <w:t xml:space="preserve">7.1.2 Vulnerability monitoring for open source dependencies classified as Critical or High severity MUST be performed on a continuous basis using OSPO-approved tooling.</w:t>
      </w:r>
    </w:p>
    <w:p>
      <w:pPr>
        <w:pStyle w:val="BodyText"/>
      </w:pPr>
      <w:r>
        <w:t xml:space="preserve">7.1.3 High-severity vulnerabilities in open source dependencies of production systems MUST be triaged within [72 hours] and remediated within [30 days] unless a documented risk acceptance is obtained from [APPROPRIATE AUTHORITY].</w:t>
      </w:r>
    </w:p>
    <w:p>
      <w:pPr>
        <w:pStyle w:val="BodyText"/>
      </w:pPr>
      <w:r>
        <w:t xml:space="preserve">7.1.4 Critical-severity vulnerabilities MUST be triaged within [24 hours] and remediated within [14 days] unless a documented risk acceptance is obtained.</w:t>
      </w:r>
    </w:p>
    <w:bookmarkEnd w:id="43"/>
    <w:bookmarkStart w:id="44" w:name="nis2-and-cra-alignment"/>
    <w:p>
      <w:pPr>
        <w:pStyle w:val="Heading3"/>
      </w:pPr>
      <w:r>
        <w:t xml:space="preserve">7.2 NIS2 and CRA Alignment</w:t>
      </w:r>
    </w:p>
    <w:p>
      <w:pPr>
        <w:pStyle w:val="FirstParagraph"/>
      </w:pPr>
      <w:r>
        <w:t xml:space="preserve">This section shall be read in conjunction with [ORGANISATION NAME]’s broader cybersecurity policy. The OSPO is responsible for ensuring that open source governance practices meet the supply chain security requirements of the NIS2 Directive (where applicable to [ORGANISATION NAME]) and the EU Cyber Resilience Act.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mpliance-monitoring-and-enforcement"/>
    <w:p>
      <w:pPr>
        <w:pStyle w:val="Heading2"/>
      </w:pPr>
      <w:r>
        <w:t xml:space="preserve">8. Compliance, Monitoring, and Enforcement</w:t>
      </w:r>
    </w:p>
    <w:bookmarkStart w:id="46" w:name="compliance-responsibilities"/>
    <w:p>
      <w:pPr>
        <w:pStyle w:val="Heading3"/>
      </w:pPr>
      <w:r>
        <w:t xml:space="preserve">8.1 Compliance Responsibilities</w:t>
      </w:r>
    </w:p>
    <w:p>
      <w:pPr>
        <w:pStyle w:val="FirstParagraph"/>
      </w:pPr>
      <w:r>
        <w:t xml:space="preserve">8.1.1 Unit managers are responsible for ensuring that their teams comply with this Policy.</w:t>
      </w:r>
    </w:p>
    <w:p>
      <w:pPr>
        <w:pStyle w:val="BodyText"/>
      </w:pPr>
      <w:r>
        <w:t xml:space="preserve">8.1.2 The OSPO is responsible for monitoring compliance, providing guidance, and escalating material non-compliance to [APPROPRIATE AUTHORITY].</w:t>
      </w:r>
    </w:p>
    <w:p>
      <w:pPr>
        <w:pStyle w:val="BodyText"/>
      </w:pPr>
      <w:r>
        <w:t xml:space="preserve">8.1.3 All staff are individually responsible for complying with the provisions of this Policy in their personal activities.</w:t>
      </w:r>
    </w:p>
    <w:bookmarkEnd w:id="46"/>
    <w:bookmarkStart w:id="47" w:name="compliance-monitoring"/>
    <w:p>
      <w:pPr>
        <w:pStyle w:val="Heading3"/>
      </w:pPr>
      <w:r>
        <w:t xml:space="preserve">8.2 Compliance Monitoring</w:t>
      </w:r>
    </w:p>
    <w:p>
      <w:pPr>
        <w:pStyle w:val="FirstParagraph"/>
      </w:pPr>
      <w:r>
        <w:t xml:space="preserve">The OSPO SHALL conduct periodic compliance assessments, including:</w:t>
      </w:r>
    </w:p>
    <w:p>
      <w:pPr>
        <w:numPr>
          <w:ilvl w:val="0"/>
          <w:numId w:val="1005"/>
        </w:numPr>
        <w:pStyle w:val="Compact"/>
      </w:pPr>
      <w:r>
        <w:t xml:space="preserve">Annual review of SBOM completeness and accuracy across in-scope projects</w:t>
      </w:r>
    </w:p>
    <w:p>
      <w:pPr>
        <w:numPr>
          <w:ilvl w:val="0"/>
          <w:numId w:val="1005"/>
        </w:numPr>
        <w:pStyle w:val="Compact"/>
      </w:pPr>
      <w:r>
        <w:t xml:space="preserve">Annual review of contribution register</w:t>
      </w:r>
    </w:p>
    <w:p>
      <w:pPr>
        <w:numPr>
          <w:ilvl w:val="0"/>
          <w:numId w:val="1005"/>
        </w:numPr>
        <w:pStyle w:val="Compact"/>
      </w:pPr>
      <w:r>
        <w:t xml:space="preserve">Periodic licence scan of published software repositories</w:t>
      </w:r>
    </w:p>
    <w:p>
      <w:pPr>
        <w:numPr>
          <w:ilvl w:val="0"/>
          <w:numId w:val="1005"/>
        </w:numPr>
        <w:pStyle w:val="Compact"/>
      </w:pPr>
      <w:r>
        <w:t xml:space="preserve">Annual policy review (Section 9)</w:t>
      </w:r>
    </w:p>
    <w:bookmarkEnd w:id="47"/>
    <w:bookmarkStart w:id="48" w:name="non-compliance"/>
    <w:p>
      <w:pPr>
        <w:pStyle w:val="Heading3"/>
      </w:pPr>
      <w:r>
        <w:t xml:space="preserve">8.3 Non-Compliance</w:t>
      </w:r>
    </w:p>
    <w:p>
      <w:pPr>
        <w:pStyle w:val="FirstParagraph"/>
      </w:pPr>
      <w:r>
        <w:t xml:space="preserve">Material non-compliance with this Policy shall be escalated to [APPROPRIATE AUTHORITY] and may result in:</w:t>
      </w:r>
    </w:p>
    <w:p>
      <w:pPr>
        <w:numPr>
          <w:ilvl w:val="0"/>
          <w:numId w:val="1006"/>
        </w:numPr>
        <w:pStyle w:val="Compact"/>
      </w:pPr>
      <w:r>
        <w:t xml:space="preserve">Suspension of the non-compliant project’s open source activities pending remediation</w:t>
      </w:r>
    </w:p>
    <w:p>
      <w:pPr>
        <w:numPr>
          <w:ilvl w:val="0"/>
          <w:numId w:val="1006"/>
        </w:numPr>
        <w:pStyle w:val="Compact"/>
      </w:pPr>
      <w:r>
        <w:t xml:space="preserve">Formal notification to the project team and their management</w:t>
      </w:r>
    </w:p>
    <w:p>
      <w:pPr>
        <w:numPr>
          <w:ilvl w:val="0"/>
          <w:numId w:val="1006"/>
        </w:numPr>
        <w:pStyle w:val="Compact"/>
      </w:pPr>
      <w:r>
        <w:t xml:space="preserve">In cases of serious or repeated non-compliance, referral to disciplinary procedures in accordance with [ORGANISATION NAME]’s [HR POLICY]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olicy-review"/>
    <w:p>
      <w:pPr>
        <w:pStyle w:val="Heading2"/>
      </w:pPr>
      <w:r>
        <w:t xml:space="preserve">9. Policy Review</w:t>
      </w:r>
    </w:p>
    <w:p>
      <w:pPr>
        <w:pStyle w:val="FirstParagraph"/>
      </w:pPr>
      <w:r>
        <w:t xml:space="preserve">This Policy SHALL be reviewed annually by the OSPO and updated as necessary to reflect:</w:t>
      </w:r>
    </w:p>
    <w:p>
      <w:pPr>
        <w:numPr>
          <w:ilvl w:val="0"/>
          <w:numId w:val="1007"/>
        </w:numPr>
        <w:pStyle w:val="Compact"/>
      </w:pPr>
      <w:r>
        <w:t xml:space="preserve">Changes in applicable legislation or regulatory requirements</w:t>
      </w:r>
    </w:p>
    <w:p>
      <w:pPr>
        <w:numPr>
          <w:ilvl w:val="0"/>
          <w:numId w:val="1007"/>
        </w:numPr>
        <w:pStyle w:val="Compact"/>
      </w:pPr>
      <w:r>
        <w:t xml:space="preserve">Changes in the organisation’s open source strategy</w:t>
      </w:r>
    </w:p>
    <w:p>
      <w:pPr>
        <w:numPr>
          <w:ilvl w:val="0"/>
          <w:numId w:val="1007"/>
        </w:numPr>
        <w:pStyle w:val="Compact"/>
      </w:pPr>
      <w:r>
        <w:t xml:space="preserve">Significant changes in the open source landscape (new licence types, community practices, standards)</w:t>
      </w:r>
    </w:p>
    <w:p>
      <w:pPr>
        <w:numPr>
          <w:ilvl w:val="0"/>
          <w:numId w:val="1007"/>
        </w:numPr>
        <w:pStyle w:val="Compact"/>
      </w:pPr>
      <w:r>
        <w:t xml:space="preserve">Findings from compliance monitoring and incident reports</w:t>
      </w:r>
    </w:p>
    <w:p>
      <w:pPr>
        <w:pStyle w:val="FirstParagraph"/>
      </w:pPr>
      <w:r>
        <w:t xml:space="preserve">Material revisions require approval by [GOVERNING BODY OR EXECUTIVE].</w:t>
      </w:r>
    </w:p>
    <w:p>
      <w:r>
        <w:pict>
          <v:rect style="width:0;height:1.5pt" o:hralign="center" o:hrstd="t" o:hr="t"/>
        </w:pict>
      </w:r>
    </w:p>
    <w:bookmarkEnd w:id="50"/>
    <w:bookmarkStart w:id="51" w:name="related-documents"/>
    <w:p>
      <w:pPr>
        <w:pStyle w:val="Heading2"/>
      </w:pPr>
      <w:r>
        <w:t xml:space="preserve">10. Related Documents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OSPO Procedures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OSPO Publication Guidelines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 Management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[REFERENCE]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ppendix-a-regulatory-reference-table"/>
    <w:p>
      <w:pPr>
        <w:pStyle w:val="Heading2"/>
      </w:pPr>
      <w:r>
        <w:t xml:space="preserve">Appendix A: Regulatory Reference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Provisions Relevant to this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Open Source Strategy 2020–2023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framework for open source in Commission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Interoperable Europe Act (EU) 2024/903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Interoperability and openness requirements for public digital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NIS2 Directive 2022/2555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chain security obligations for essential and important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 Cyber Resilience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security requirements for products with digital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(EU) 2016/679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protection obligations applicable to open source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OpenChain ISO/IEC 5230:2020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licence compliance programme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SPDX ISO/IEC 5962:2021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SBOM standard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document-history"/>
    <w:p>
      <w:pPr>
        <w:pStyle w:val="Heading2"/>
      </w:pPr>
      <w:r>
        <w:t xml:space="preserve">Document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[AUTHOR]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adoption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template is part of the Agora Framework, published by IAAUTECO Inc. under the European Union Public Licence v1.2 (EUPL-1.2). Organisations are encouraged to adapt this template freely, subject to the terms of the EUPL-1.2.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Agora Framework ��� OSPO Policy Template</dc:title>
  <dc:creator>IAAUTECO Inc.</dc:creator>
  <cp:keywords/>
  <dcterms:created xsi:type="dcterms:W3CDTF">2026-03-05T19:26:36Z</dcterms:created>
  <dcterms:modified xsi:type="dcterms:W3CDTF">2026-03-05T19:26:36Z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2025</vt:lpwstr>
  </property>
</Properties>
</file>