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Calibri" w:hAnsi="Calibri"/>
          <w:b/>
          <w:color w:val="64748B"/>
          <w:sz w:val="17"/>
        </w:rPr>
        <w:t>PONCE &amp; BENZO | DIRECCIÓN DE SISTEMAS Y TECNOLOGÍA</w:t>
        <w:br/>
        <w:t>GERENCIA CORPORATIVA DE TALENTO HUMANO</w:t>
      </w:r>
    </w:p>
    <w:p>
      <w:pPr>
        <w:spacing w:before="320" w:after="80"/>
      </w:pPr>
      <w:r>
        <w:rPr>
          <w:rFonts w:ascii="Calibri" w:hAnsi="Calibri"/>
          <w:b/>
          <w:color w:val="1B365D"/>
          <w:sz w:val="44"/>
        </w:rPr>
        <w:t>Informe Gerencial de Arquitectura e Integración TH ↔ Humand</w:t>
      </w:r>
    </w:p>
    <w:p>
      <w:pPr>
        <w:spacing w:after="360"/>
      </w:pPr>
      <w:r>
        <w:rPr>
          <w:rFonts w:ascii="Calibri" w:hAnsi="Calibri"/>
          <w:color w:val="2B6CB0"/>
          <w:sz w:val="24"/>
        </w:rPr>
        <w:t>Modelo de Sincronización Selectiva por Campos, Carga de Fechas de Nacimiento, Premisas Técnicas y Gobierno de Datos</w:t>
      </w:r>
    </w:p>
    <w:p>
      <w:pPr>
        <w:spacing w:after="320"/>
        <w:pBdr>
          <w:bottom w:val="single" w:sz="18" w:space="2" w:color="1B365D"/>
        </w:pBdr>
      </w:pP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168"/>
            <w:shd w:fill="EDF2F7"/>
            <w:tcMar>
              <w:top w:w="70" w:type="dxa"/>
              <w:bottom w:w="70" w:type="dxa"/>
              <w:left w:w="120" w:type="dxa"/>
              <w:right w:w="120" w:type="dxa"/>
            </w:tcMar>
          </w:tcPr>
          <w:p>
            <w:pPr>
              <w:spacing w:after="0"/>
            </w:pPr>
            <w:r>
              <w:rPr>
                <w:rFonts w:ascii="Calibri" w:hAnsi="Calibri"/>
                <w:b/>
                <w:color w:val="1B365D"/>
                <w:sz w:val="18"/>
              </w:rPr>
              <w:t>Proyecto / Iniciativa:</w:t>
            </w:r>
          </w:p>
        </w:tc>
        <w:tc>
          <w:tcPr>
            <w:tcW w:type="dxa" w:w="6192"/>
            <w:shd w:fill="FFFFFF"/>
            <w:tcMar>
              <w:top w:w="70" w:type="dxa"/>
              <w:bottom w:w="70" w:type="dxa"/>
              <w:left w:w="120" w:type="dxa"/>
              <w:right w:w="120" w:type="dxa"/>
            </w:tcMar>
          </w:tcPr>
          <w:p>
            <w:pPr>
              <w:spacing w:after="0"/>
            </w:pPr>
            <w:r>
              <w:rPr>
                <w:rFonts w:ascii="Calibri" w:hAnsi="Calibri"/>
                <w:color w:val="1E293B"/>
                <w:sz w:val="18"/>
              </w:rPr>
              <w:t>Plataforma Integral de Talento Humano — Ecosistema Digital Ponce &amp; Benzo</w:t>
            </w:r>
          </w:p>
        </w:tc>
      </w:tr>
      <w:tr>
        <w:tc>
          <w:tcPr>
            <w:tcW w:type="dxa" w:w="3168"/>
            <w:shd w:fill="EDF2F7"/>
            <w:tcMar>
              <w:top w:w="70" w:type="dxa"/>
              <w:bottom w:w="70" w:type="dxa"/>
              <w:left w:w="120" w:type="dxa"/>
              <w:right w:w="120" w:type="dxa"/>
            </w:tcMar>
          </w:tcPr>
          <w:p>
            <w:pPr>
              <w:spacing w:after="0"/>
            </w:pPr>
            <w:r>
              <w:rPr>
                <w:rFonts w:ascii="Calibri" w:hAnsi="Calibri"/>
                <w:b/>
                <w:color w:val="1B365D"/>
                <w:sz w:val="18"/>
              </w:rPr>
              <w:t>Destinatarios:</w:t>
            </w:r>
          </w:p>
        </w:tc>
        <w:tc>
          <w:tcPr>
            <w:tcW w:type="dxa" w:w="6192"/>
            <w:shd w:fill="FFFFFF"/>
            <w:tcMar>
              <w:top w:w="70" w:type="dxa"/>
              <w:bottom w:w="70" w:type="dxa"/>
              <w:left w:w="120" w:type="dxa"/>
              <w:right w:w="120" w:type="dxa"/>
            </w:tcMar>
          </w:tcPr>
          <w:p>
            <w:pPr>
              <w:spacing w:after="0"/>
            </w:pPr>
            <w:r>
              <w:rPr>
                <w:rFonts w:ascii="Calibri" w:hAnsi="Calibri"/>
                <w:color w:val="1E293B"/>
                <w:sz w:val="18"/>
              </w:rPr>
              <w:t>Dirección General, Dirección de Sistemas &amp; Tecnología, Gerencia de Talento Humano</w:t>
            </w:r>
          </w:p>
        </w:tc>
      </w:tr>
      <w:tr>
        <w:tc>
          <w:tcPr>
            <w:tcW w:type="dxa" w:w="3168"/>
            <w:shd w:fill="EDF2F7"/>
            <w:tcMar>
              <w:top w:w="70" w:type="dxa"/>
              <w:bottom w:w="70" w:type="dxa"/>
              <w:left w:w="120" w:type="dxa"/>
              <w:right w:w="120" w:type="dxa"/>
            </w:tcMar>
          </w:tcPr>
          <w:p>
            <w:pPr>
              <w:spacing w:after="0"/>
            </w:pPr>
            <w:r>
              <w:rPr>
                <w:rFonts w:ascii="Calibri" w:hAnsi="Calibri"/>
                <w:b/>
                <w:color w:val="1B365D"/>
                <w:sz w:val="18"/>
              </w:rPr>
              <w:t>Fecha de Emisión:</w:t>
            </w:r>
          </w:p>
        </w:tc>
        <w:tc>
          <w:tcPr>
            <w:tcW w:type="dxa" w:w="6192"/>
            <w:shd w:fill="FFFFFF"/>
            <w:tcMar>
              <w:top w:w="70" w:type="dxa"/>
              <w:bottom w:w="70" w:type="dxa"/>
              <w:left w:w="120" w:type="dxa"/>
              <w:right w:w="120" w:type="dxa"/>
            </w:tcMar>
          </w:tcPr>
          <w:p>
            <w:pPr>
              <w:spacing w:after="0"/>
            </w:pPr>
            <w:r>
              <w:rPr>
                <w:rFonts w:ascii="Calibri" w:hAnsi="Calibri"/>
                <w:color w:val="1E293B"/>
                <w:sz w:val="18"/>
              </w:rPr>
              <w:t>Octubre 2026 | Versión Oficial 2.5 (Actualizada)</w:t>
            </w:r>
          </w:p>
        </w:tc>
      </w:tr>
      <w:tr>
        <w:tc>
          <w:tcPr>
            <w:tcW w:type="dxa" w:w="3168"/>
            <w:shd w:fill="EDF2F7"/>
            <w:tcMar>
              <w:top w:w="70" w:type="dxa"/>
              <w:bottom w:w="70" w:type="dxa"/>
              <w:left w:w="120" w:type="dxa"/>
              <w:right w:w="120" w:type="dxa"/>
            </w:tcMar>
          </w:tcPr>
          <w:p>
            <w:pPr>
              <w:spacing w:after="0"/>
            </w:pPr>
            <w:r>
              <w:rPr>
                <w:rFonts w:ascii="Calibri" w:hAnsi="Calibri"/>
                <w:b/>
                <w:color w:val="1B365D"/>
                <w:sz w:val="18"/>
              </w:rPr>
              <w:t>Clasificación de Seguridad:</w:t>
            </w:r>
          </w:p>
        </w:tc>
        <w:tc>
          <w:tcPr>
            <w:tcW w:type="dxa" w:w="6192"/>
            <w:shd w:fill="FFFFFF"/>
            <w:tcMar>
              <w:top w:w="70" w:type="dxa"/>
              <w:bottom w:w="70" w:type="dxa"/>
              <w:left w:w="120" w:type="dxa"/>
              <w:right w:w="120" w:type="dxa"/>
            </w:tcMar>
          </w:tcPr>
          <w:p>
            <w:pPr>
              <w:spacing w:after="0"/>
            </w:pPr>
            <w:r>
              <w:rPr>
                <w:rFonts w:ascii="Calibri" w:hAnsi="Calibri"/>
                <w:color w:val="1E293B"/>
                <w:sz w:val="18"/>
              </w:rPr>
              <w:t>Confidencial — Uso Interno Corporativo</w:t>
            </w:r>
          </w:p>
        </w:tc>
      </w:tr>
    </w:tbl>
    <w:p>
      <w:pPr>
        <w:spacing w:after="240"/>
      </w:pPr>
    </w:p>
    <w:p>
      <w:pPr>
        <w:keepNext/>
        <w:spacing w:before="360" w:after="120"/>
        <w:pBdr>
          <w:bottom w:val="single" w:sz="10" w:space="4" w:color="2B6CB0"/>
        </w:pBdr>
      </w:pPr>
      <w:r>
        <w:rPr>
          <w:rFonts w:ascii="Calibri" w:hAnsi="Calibri"/>
          <w:b/>
          <w:color w:val="1B365D"/>
          <w:sz w:val="28"/>
        </w:rPr>
        <w:t>Resumen Ejecutivo</w:t>
      </w:r>
    </w:p>
    <w:p>
      <w:pPr>
        <w:spacing w:after="120" w:line="276" w:lineRule="auto"/>
      </w:pPr>
      <w:r>
        <w:rPr>
          <w:rFonts w:ascii="Calibri" w:hAnsi="Calibri"/>
          <w:color w:val="1E293B"/>
          <w:sz w:val="20"/>
        </w:rPr>
        <w:t>El presente informe establece con rigor técnico y funcional la arquitectura de integración y el modelo de sincronización entre la base de datos central de la Aplicación de Talento Humano (Aplicación TH) y la plataforma de comunicación y experiencia del empleado Humand. El objetivo medular es garantizar un intercambio de información transparente, seguro, automatizado y bajo estricto control corporativo.</w:t>
      </w:r>
    </w:p>
    <w:p>
      <w:pPr>
        <w:spacing w:after="120" w:line="276" w:lineRule="auto"/>
      </w:pPr>
      <w:r>
        <w:rPr>
          <w:rFonts w:ascii="Calibri" w:hAnsi="Calibri"/>
          <w:color w:val="1E293B"/>
          <w:sz w:val="20"/>
        </w:rPr>
        <w:t>En esta versión actualizada 2.5, se documentan formalmente dos hitos trascendentales en la madurez del ecosistema: (1) La integración del Módulo de Sincronización Selectiva por Campos (Delta PATCH), que permite a la Gerencia seleccionar libremente mediante checkboxes interactivos qué atributos específicos desea actualizar en Humand (por ejemplo: únicamente la fecha de nacimiento, el correo o el teléfono), sin alterar departamentos, puestos, credenciales ni el resto del perfil; y (2) La digitalización, conciliación y carga del 100% de las Fechas de Nacimiento en la base de datos de TH para los 187 colaboradores activos, homologándolas con el atributo nativo 'birthdate' en Humand.</w:t>
      </w:r>
    </w:p>
    <w:p>
      <w:pPr>
        <w:spacing w:after="120" w:line="276" w:lineRule="auto"/>
      </w:pPr>
      <w:r>
        <w:rPr>
          <w:rFonts w:ascii="Calibri" w:hAnsi="Calibri"/>
          <w:color w:val="1E293B"/>
          <w:sz w:val="20"/>
        </w:rPr>
        <w:t>Como principio rector, se ratifica que el sistema NO está obligado a realizar sincronizaciones totales masivas. La arquitectura ofrece capacidades duales de máxima flexibilidad: permite cargas globales o estructurales en cascada cuando se crean departamentos o cargos masivos, pero prioriza la Sincronización Delta Quirúrgica para la operación habitual, protegiendo las cuotas de Rate Limit de la API y garantizando la total inocuidad sobre los expedientes existentes en la nube.</w:t>
      </w:r>
    </w:p>
    <w:p>
      <w:pPr>
        <w:keepNext/>
        <w:spacing w:before="360" w:after="120"/>
        <w:pBdr>
          <w:bottom w:val="single" w:sz="10" w:space="4" w:color="2B6CB0"/>
        </w:pBdr>
      </w:pPr>
      <w:r>
        <w:rPr>
          <w:rFonts w:ascii="Calibri" w:hAnsi="Calibri"/>
          <w:b/>
          <w:color w:val="1B365D"/>
          <w:sz w:val="28"/>
        </w:rPr>
        <w:t>1. Modelo de Sincronización: Cascada Completa vs. Sincronización Selectiva</w:t>
      </w:r>
    </w:p>
    <w:p>
      <w:pPr>
        <w:spacing w:after="120" w:line="276" w:lineRule="auto"/>
      </w:pPr>
      <w:r>
        <w:rPr>
          <w:rFonts w:ascii="Calibri" w:hAnsi="Calibri"/>
          <w:color w:val="1E293B"/>
          <w:sz w:val="20"/>
        </w:rPr>
        <w:t>Una de las premisas arquitectónicas más críticas en la integración de sistemas de recursos humanos es la eficiencia, la precisión y el control de tráfico en las APIs. En la integración TH ↔ Humand, los administradores cuentan con la libertad de elegir entre modalidades operativas diferenciadas según la necesidad:</w:t>
      </w:r>
    </w:p>
    <w:p>
      <w:pPr>
        <w:keepNext/>
        <w:spacing w:before="260" w:after="80"/>
      </w:pPr>
      <w:r>
        <w:rPr>
          <w:rFonts w:ascii="Calibri" w:hAnsi="Calibri"/>
          <w:b/>
          <w:color w:val="2B6CB0"/>
          <w:sz w:val="24"/>
        </w:rPr>
        <w:t>1.1 Sincronización Selectiva por Campos (Nueva Funcionalidad Delta PATCH)</w:t>
      </w:r>
    </w:p>
    <w:p>
      <w:pPr>
        <w:spacing w:after="120" w:line="276" w:lineRule="auto"/>
      </w:pPr>
      <w:r>
        <w:rPr>
          <w:rFonts w:ascii="Calibri" w:hAnsi="Calibri"/>
          <w:color w:val="1E293B"/>
          <w:sz w:val="20"/>
        </w:rPr>
        <w:t>La Sincronización Selectiva por Campos permite al usuario escoger exactamente cuáles atributos de datos desea transmitir hacia Humand. Esta modalidad opera bajo el verbo HTTP PATCH, lo que significa que la API de Humand únicamente actualiza los campos enviados en el payload y deja intacto el 100% de los datos preexistentes (cargos, departamentos, contraseñas, antigüedad, organigrama, etc.).</w:t>
      </w:r>
    </w:p>
    <w:p>
      <w:pPr>
        <w:pStyle w:val="ListBullet"/>
        <w:spacing w:after="60" w:line="276" w:lineRule="auto"/>
      </w:pPr>
      <w:r>
        <w:rPr>
          <w:rFonts w:ascii="Calibri" w:hAnsi="Calibri"/>
          <w:b/>
          <w:color w:val="1E293B"/>
          <w:sz w:val="20"/>
        </w:rPr>
        <w:t xml:space="preserve">Presets Operativos de Selección Rápida: </w:t>
      </w:r>
      <w:r>
        <w:rPr>
          <w:rFonts w:ascii="Calibri" w:hAnsi="Calibri"/>
          <w:color w:val="1E293B"/>
          <w:sz w:val="20"/>
        </w:rPr>
        <w:t>Disponibles en el nuevo diálogo interactivo de la interfaz: (a) Solo Fecha de Nacimiento; (b) Datos Personales y Biográficos (Nacimiento, Teléfono); (c) Datos Laborales (Fecha de Ingreso, Correo, Supervisor BOSS); (d) Todos los Campos; o (e) Selección Personalizada libre.</w:t>
      </w:r>
    </w:p>
    <w:p>
      <w:pPr>
        <w:pStyle w:val="ListBullet"/>
        <w:spacing w:after="60" w:line="276" w:lineRule="auto"/>
      </w:pPr>
      <w:r>
        <w:rPr>
          <w:rFonts w:ascii="Calibri" w:hAnsi="Calibri"/>
          <w:b/>
          <w:color w:val="1E293B"/>
          <w:sz w:val="20"/>
        </w:rPr>
        <w:t xml:space="preserve">Inocuidad y Protección de Datos: </w:t>
      </w:r>
      <w:r>
        <w:rPr>
          <w:rFonts w:ascii="Calibri" w:hAnsi="Calibri"/>
          <w:color w:val="1E293B"/>
          <w:sz w:val="20"/>
        </w:rPr>
        <w:t>Si el usuario selecciona solo 'Fecha de Nacimiento', el sistema envía únicamente { 'birthdate': 'AAAA-MM-DD' }. No se tocan correos, teléfonos, roles ni membresías organizacionales.</w:t>
      </w:r>
    </w:p>
    <w:p>
      <w:pPr>
        <w:pStyle w:val="ListBullet"/>
        <w:spacing w:after="60" w:line="276" w:lineRule="auto"/>
      </w:pPr>
      <w:r>
        <w:rPr>
          <w:rFonts w:ascii="Calibri" w:hAnsi="Calibri"/>
          <w:b/>
          <w:color w:val="1E293B"/>
          <w:sz w:val="20"/>
        </w:rPr>
        <w:t xml:space="preserve">Alta Eficiencia en API: </w:t>
      </w:r>
      <w:r>
        <w:rPr>
          <w:rFonts w:ascii="Calibri" w:hAnsi="Calibri"/>
          <w:color w:val="1E293B"/>
          <w:sz w:val="20"/>
        </w:rPr>
        <w:t>Ahorra drásticamente el consumo de peticiones por minuto (Rate Limit) al evitar llamadas innecesarias a endpoints de departamentos y cargos.</w:t>
      </w:r>
    </w:p>
    <w:p>
      <w:pPr>
        <w:keepNext/>
        <w:spacing w:before="260" w:after="80"/>
      </w:pPr>
      <w:r>
        <w:rPr>
          <w:rFonts w:ascii="Calibri" w:hAnsi="Calibri"/>
          <w:b/>
          <w:color w:val="2B6CB0"/>
          <w:sz w:val="24"/>
        </w:rPr>
        <w:t>1.2 Sincronización Parcial por Colaborador Individual</w:t>
      </w:r>
    </w:p>
    <w:p>
      <w:pPr>
        <w:spacing w:after="120" w:line="276" w:lineRule="auto"/>
      </w:pPr>
      <w:r>
        <w:rPr>
          <w:rFonts w:ascii="Calibri" w:hAnsi="Calibri"/>
          <w:color w:val="1E293B"/>
          <w:sz w:val="20"/>
        </w:rPr>
        <w:t>Tanto en la tabla principal de colaboradores como en el modal de sincronización, es posible disparar la actualización individual para un solo empleado (utilizando su cédula de identidad como identificador unívoco employeeInternalId). Esto resulta ideal para nuevos ingresos o correcciones puntuales, evitando procesar a toda la nómina para un solo caso.</w:t>
      </w:r>
    </w:p>
    <w:p>
      <w:pPr>
        <w:keepNext/>
        <w:spacing w:before="260" w:after="80"/>
      </w:pPr>
      <w:r>
        <w:rPr>
          <w:rFonts w:ascii="Calibri" w:hAnsi="Calibri"/>
          <w:b/>
          <w:color w:val="2B6CB0"/>
          <w:sz w:val="24"/>
        </w:rPr>
        <w:t>1.3 Sincronización en Cascada Completa (Estructural)</w:t>
      </w:r>
    </w:p>
    <w:p>
      <w:pPr>
        <w:spacing w:after="120" w:line="276" w:lineRule="auto"/>
      </w:pPr>
      <w:r>
        <w:rPr>
          <w:rFonts w:ascii="Calibri" w:hAnsi="Calibri"/>
          <w:color w:val="1E293B"/>
          <w:sz w:val="20"/>
        </w:rPr>
        <w:t>La Sincronización en Cascada (PUT /users + asignación de membresías) se reserva para momentos en los que se han creado nuevos departamentos o puestos en TH que deben aprovisionarse primero en Humand, o durante auditorías generales mensuales de consistencia referencial.</w:t>
      </w:r>
    </w:p>
    <w:p>
      <w:pPr>
        <w:keepNext/>
        <w:spacing w:before="260" w:after="80"/>
      </w:pPr>
      <w:r>
        <w:rPr>
          <w:rFonts w:ascii="Calibri" w:hAnsi="Calibri"/>
          <w:b/>
          <w:color w:val="2B6CB0"/>
          <w:sz w:val="24"/>
        </w:rPr>
        <w:t>1.4 Matriz Comparativa de Métodos de Sincronización</w:t>
      </w:r>
    </w:p>
    <w:tbl>
      <w:tblPr>
        <w:tblW w:type="auto" w:w="0"/>
        <w:jc w:val="center"/>
        <w:tblLook w:firstColumn="1" w:firstRow="1" w:lastColumn="0" w:lastRow="0" w:noHBand="0" w:noVBand="1" w:val="04A0"/>
      </w:tblPr>
      <w:tblGrid>
        <w:gridCol w:w="2340"/>
        <w:gridCol w:w="2340"/>
        <w:gridCol w:w="2340"/>
        <w:gridCol w:w="2340"/>
      </w:tblGrid>
      <w:tr>
        <w:tc>
          <w:tcPr>
            <w:tcW w:type="dxa" w:w="2304"/>
            <w:shd w:fill="1B365D"/>
            <w:tcMar>
              <w:top w:w="130" w:type="dxa"/>
              <w:bottom w:w="130" w:type="dxa"/>
              <w:left w:w="140" w:type="dxa"/>
              <w:right w:w="140" w:type="dxa"/>
            </w:tcMar>
            <w:vAlign w:val="center"/>
          </w:tcPr>
          <w:p>
            <w:pPr>
              <w:jc w:val="left"/>
            </w:pPr>
            <w:r>
              <w:rPr>
                <w:rFonts w:ascii="Calibri" w:hAnsi="Calibri"/>
                <w:b/>
                <w:color w:val="FFFFFF"/>
                <w:sz w:val="19"/>
              </w:rPr>
              <w:t>Modalidad</w:t>
            </w:r>
          </w:p>
        </w:tc>
        <w:tc>
          <w:tcPr>
            <w:tcW w:type="dxa" w:w="1872"/>
            <w:shd w:fill="1B365D"/>
            <w:tcMar>
              <w:top w:w="130" w:type="dxa"/>
              <w:bottom w:w="130" w:type="dxa"/>
              <w:left w:w="140" w:type="dxa"/>
              <w:right w:w="140" w:type="dxa"/>
            </w:tcMar>
            <w:vAlign w:val="center"/>
          </w:tcPr>
          <w:p>
            <w:pPr>
              <w:jc w:val="left"/>
            </w:pPr>
            <w:r>
              <w:rPr>
                <w:rFonts w:ascii="Calibri" w:hAnsi="Calibri"/>
                <w:b/>
                <w:color w:val="FFFFFF"/>
                <w:sz w:val="19"/>
              </w:rPr>
              <w:t>Endpoint / Verbo</w:t>
            </w:r>
          </w:p>
        </w:tc>
        <w:tc>
          <w:tcPr>
            <w:tcW w:type="dxa" w:w="2592"/>
            <w:shd w:fill="1B365D"/>
            <w:tcMar>
              <w:top w:w="130" w:type="dxa"/>
              <w:bottom w:w="130" w:type="dxa"/>
              <w:left w:w="140" w:type="dxa"/>
              <w:right w:w="140" w:type="dxa"/>
            </w:tcMar>
            <w:vAlign w:val="center"/>
          </w:tcPr>
          <w:p>
            <w:pPr>
              <w:jc w:val="left"/>
            </w:pPr>
            <w:r>
              <w:rPr>
                <w:rFonts w:ascii="Calibri" w:hAnsi="Calibri"/>
                <w:b/>
                <w:color w:val="FFFFFF"/>
                <w:sz w:val="19"/>
              </w:rPr>
              <w:t>Alcance de Datos</w:t>
            </w:r>
          </w:p>
        </w:tc>
        <w:tc>
          <w:tcPr>
            <w:tcW w:type="dxa" w:w="2592"/>
            <w:shd w:fill="1B365D"/>
            <w:tcMar>
              <w:top w:w="130" w:type="dxa"/>
              <w:bottom w:w="130" w:type="dxa"/>
              <w:left w:w="140" w:type="dxa"/>
              <w:right w:w="140" w:type="dxa"/>
            </w:tcMar>
            <w:vAlign w:val="center"/>
          </w:tcPr>
          <w:p>
            <w:pPr>
              <w:jc w:val="left"/>
            </w:pPr>
            <w:r>
              <w:rPr>
                <w:rFonts w:ascii="Calibri" w:hAnsi="Calibri"/>
                <w:b/>
                <w:color w:val="FFFFFF"/>
                <w:sz w:val="19"/>
              </w:rPr>
              <w:t>Consumo de API / Cuota</w:t>
            </w:r>
          </w:p>
        </w:tc>
      </w:tr>
      <w:tr>
        <w:tc>
          <w:tcPr>
            <w:tcW w:type="dxa" w:w="2304"/>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 por Campos (NUEVO)</w:t>
            </w:r>
          </w:p>
        </w:tc>
        <w:tc>
          <w:tcPr>
            <w:tcW w:type="dxa" w:w="1872"/>
            <w:shd w:fill="FFFFFF"/>
            <w:tcMar>
              <w:top w:w="100" w:type="dxa"/>
              <w:bottom w:w="100" w:type="dxa"/>
              <w:left w:w="140" w:type="dxa"/>
              <w:right w:w="140" w:type="dxa"/>
            </w:tcMar>
            <w:vAlign w:val="center"/>
          </w:tcPr>
          <w:p>
            <w:pPr>
              <w:spacing w:after="0" w:line="264" w:lineRule="auto"/>
            </w:pPr>
            <w:r>
              <w:rPr>
                <w:rFonts w:ascii="Calibri" w:hAnsi="Calibri"/>
                <w:color w:val="1E293B"/>
                <w:sz w:val="18"/>
              </w:rPr>
              <w:t>PATCH /users/{id}</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Modifica exclusivamente los campos elegidos por el usuario (ej. solo fecha de nacimiento).</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Mínimo; 1 sola llamada ligera por usuario sin tocar otros datos.</w:t>
            </w:r>
          </w:p>
        </w:tc>
      </w:tr>
      <w:tr>
        <w:tc>
          <w:tcPr>
            <w:tcW w:type="dxa" w:w="2304"/>
            <w:shd w:fill="F8FAFC"/>
            <w:tcMar>
              <w:top w:w="100" w:type="dxa"/>
              <w:bottom w:w="100" w:type="dxa"/>
              <w:left w:w="140" w:type="dxa"/>
              <w:right w:w="140" w:type="dxa"/>
            </w:tcMar>
            <w:vAlign w:val="center"/>
          </w:tcPr>
          <w:p>
            <w:pPr>
              <w:spacing w:after="0" w:line="264" w:lineRule="auto"/>
            </w:pPr>
            <w:r>
              <w:rPr>
                <w:rFonts w:ascii="Calibri" w:hAnsi="Calibri"/>
                <w:color w:val="1E293B"/>
                <w:sz w:val="18"/>
              </w:rPr>
              <w:t>Actualización de Campos de Perfil</w:t>
            </w:r>
          </w:p>
        </w:tc>
        <w:tc>
          <w:tcPr>
            <w:tcW w:type="dxa" w:w="1872"/>
            <w:shd w:fill="F8FAFC"/>
            <w:tcMar>
              <w:top w:w="100" w:type="dxa"/>
              <w:bottom w:w="100" w:type="dxa"/>
              <w:left w:w="140" w:type="dxa"/>
              <w:right w:w="140" w:type="dxa"/>
            </w:tcMar>
            <w:vAlign w:val="center"/>
          </w:tcPr>
          <w:p>
            <w:pPr>
              <w:spacing w:after="0" w:line="264" w:lineRule="auto"/>
            </w:pPr>
            <w:r>
              <w:rPr>
                <w:rFonts w:ascii="Calibri" w:hAnsi="Calibri"/>
                <w:color w:val="1E293B"/>
                <w:sz w:val="18"/>
              </w:rPr>
              <w:t>PATCH /users/{id}/profile-fields</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Afecta únicamente los campos dinámicos (Estado Civil, Nivel Educativo).</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Ultra ligero; preserva exactamente el resto del perfil intacto.</w:t>
            </w:r>
          </w:p>
        </w:tc>
      </w:tr>
      <w:tr>
        <w:tc>
          <w:tcPr>
            <w:tcW w:type="dxa" w:w="2304"/>
            <w:shd w:fill="FFFFFF"/>
            <w:tcMar>
              <w:top w:w="100" w:type="dxa"/>
              <w:bottom w:w="100" w:type="dxa"/>
              <w:left w:w="140" w:type="dxa"/>
              <w:right w:w="140" w:type="dxa"/>
            </w:tcMar>
            <w:vAlign w:val="center"/>
          </w:tcPr>
          <w:p>
            <w:pPr>
              <w:spacing w:after="0" w:line="264" w:lineRule="auto"/>
            </w:pPr>
            <w:r>
              <w:rPr>
                <w:rFonts w:ascii="Calibri" w:hAnsi="Calibri"/>
                <w:color w:val="1E293B"/>
                <w:sz w:val="18"/>
              </w:rPr>
              <w:t>Asignación de Segmentaciones</w:t>
            </w:r>
          </w:p>
        </w:tc>
        <w:tc>
          <w:tcPr>
            <w:tcW w:type="dxa" w:w="1872"/>
            <w:shd w:fill="FFFFFF"/>
            <w:tcMar>
              <w:top w:w="100" w:type="dxa"/>
              <w:bottom w:w="100" w:type="dxa"/>
              <w:left w:w="140" w:type="dxa"/>
              <w:right w:w="140" w:type="dxa"/>
            </w:tcMar>
            <w:vAlign w:val="center"/>
          </w:tcPr>
          <w:p>
            <w:pPr>
              <w:spacing w:after="0" w:line="264" w:lineRule="auto"/>
            </w:pPr>
            <w:r>
              <w:rPr>
                <w:rFonts w:ascii="Calibri" w:hAnsi="Calibri"/>
                <w:color w:val="1E293B"/>
                <w:sz w:val="18"/>
              </w:rPr>
              <w:t>POST /segmentations/users</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Asigna grupos de Ubicación, Género o Sede geográfica.</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Específico; requiere que el grupo exista previamente en Humand.</w:t>
            </w:r>
          </w:p>
        </w:tc>
      </w:tr>
      <w:tr>
        <w:tc>
          <w:tcPr>
            <w:tcW w:type="dxa" w:w="2304"/>
            <w:shd w:fill="F8FAFC"/>
            <w:tcMar>
              <w:top w:w="100" w:type="dxa"/>
              <w:bottom w:w="100" w:type="dxa"/>
              <w:left w:w="140" w:type="dxa"/>
              <w:right w:w="140" w:type="dxa"/>
            </w:tcMar>
            <w:vAlign w:val="center"/>
          </w:tcPr>
          <w:p>
            <w:pPr>
              <w:spacing w:after="0" w:line="264" w:lineRule="auto"/>
            </w:pPr>
            <w:r>
              <w:rPr>
                <w:rFonts w:ascii="Calibri" w:hAnsi="Calibri"/>
                <w:color w:val="1E293B"/>
                <w:sz w:val="18"/>
              </w:rPr>
              <w:t>Asignación de Estructura Organizacional</w:t>
            </w:r>
          </w:p>
        </w:tc>
        <w:tc>
          <w:tcPr>
            <w:tcW w:type="dxa" w:w="1872"/>
            <w:shd w:fill="F8FAFC"/>
            <w:tcMar>
              <w:top w:w="100" w:type="dxa"/>
              <w:bottom w:w="100" w:type="dxa"/>
              <w:left w:w="140" w:type="dxa"/>
              <w:right w:w="140" w:type="dxa"/>
            </w:tcMar>
            <w:vAlign w:val="center"/>
          </w:tcPr>
          <w:p>
            <w:pPr>
              <w:spacing w:after="0" w:line="264" w:lineRule="auto"/>
            </w:pPr>
            <w:r>
              <w:rPr>
                <w:rFonts w:ascii="Calibri" w:hAnsi="Calibri"/>
                <w:color w:val="1E293B"/>
                <w:sz w:val="18"/>
              </w:rPr>
              <w:t>PUT /departments/members</w:t>
              <w:br/>
              <w:t>PUT /job-positions/members</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Enlaza al empleado con su departamento o puesto de trabajo correspondiente.</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Moderado; asegura que los organigramas reflejen la verdad de TH.</w:t>
            </w:r>
          </w:p>
        </w:tc>
      </w:tr>
      <w:tr>
        <w:tc>
          <w:tcPr>
            <w:tcW w:type="dxa" w:w="2304"/>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en Cascada Completa</w:t>
            </w:r>
          </w:p>
        </w:tc>
        <w:tc>
          <w:tcPr>
            <w:tcW w:type="dxa" w:w="1872"/>
            <w:shd w:fill="FFFFFF"/>
            <w:tcMar>
              <w:top w:w="100" w:type="dxa"/>
              <w:bottom w:w="100" w:type="dxa"/>
              <w:left w:w="140" w:type="dxa"/>
              <w:right w:w="140" w:type="dxa"/>
            </w:tcMar>
            <w:vAlign w:val="center"/>
          </w:tcPr>
          <w:p>
            <w:pPr>
              <w:spacing w:after="0" w:line="264" w:lineRule="auto"/>
            </w:pPr>
            <w:r>
              <w:rPr>
                <w:rFonts w:ascii="Calibri" w:hAnsi="Calibri"/>
                <w:color w:val="1E293B"/>
                <w:sz w:val="18"/>
              </w:rPr>
              <w:t>PUT /users + Membresías</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Reemplazo estructural del usuario y reasignación de dependencias.</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Alto tráfico; reservado para aprovisionamiento inicial o reestructuraciones.</w:t>
            </w:r>
          </w:p>
        </w:tc>
      </w:tr>
    </w:tbl>
    <w:tbl>
      <w:tblPr>
        <w:tblW w:type="auto" w:w="0"/>
        <w:jc w:val="center"/>
        <w:tblLook w:firstColumn="1" w:firstRow="1" w:lastColumn="0" w:lastRow="0" w:noHBand="0" w:noVBand="1" w:val="04A0"/>
        <w:tblBorders>
          <w:top w:val="none"/>
          <w:left w:val="single" w:sz="24" w:space="0" w:color="2F855A"/>
          <w:bottom w:val="none"/>
          <w:right w:val="none"/>
          <w:insideH w:val="none"/>
          <w:insideV w:val="none"/>
        </w:tblBorders>
      </w:tblPr>
      <w:tblGrid>
        <w:gridCol w:w="9360"/>
      </w:tblGrid>
      <w:tr>
        <w:tc>
          <w:tcPr>
            <w:tcW w:type="dxa" w:w="9360"/>
            <w:shd w:fill="F8FAFC"/>
            <w:tcMar>
              <w:top w:w="140" w:type="dxa"/>
              <w:bottom w:w="140" w:type="dxa"/>
              <w:left w:w="200" w:type="dxa"/>
              <w:right w:w="200" w:type="dxa"/>
            </w:tcMar>
          </w:tcPr>
          <w:p>
            <w:pPr>
              <w:spacing w:after="60"/>
            </w:pPr>
            <w:r>
              <w:rPr>
                <w:rFonts w:ascii="Calibri" w:hAnsi="Calibri"/>
                <w:b/>
                <w:color w:val="1B365D"/>
                <w:sz w:val="21"/>
              </w:rPr>
              <w:t>Conclusión Operativa:</w:t>
            </w:r>
          </w:p>
          <w:p>
            <w:pPr>
              <w:spacing w:after="0" w:line="276" w:lineRule="auto"/>
            </w:pPr>
            <w:r>
              <w:rPr>
                <w:rFonts w:ascii="Calibri" w:hAnsi="Calibri"/>
                <w:color w:val="1E293B"/>
                <w:sz w:val="19"/>
              </w:rPr>
              <w:t>La Gerencia de Talento Humano NO está obligada a realizar sincronizaciones globales ni pesadas. La nueva funcionalidad de Sincronización Selectiva por Campos permite enviar puntualmente la Fecha de Nacimiento (o cualquier combinación de campos) con total tranquilidad, garantizando 100% de inocuidad sobre la estructura organizativa existente.</w:t>
            </w:r>
          </w:p>
        </w:tc>
      </w:tr>
    </w:tbl>
    <w:p>
      <w:pPr>
        <w:spacing w:after="120"/>
      </w:pPr>
    </w:p>
    <w:p>
      <w:pPr>
        <w:keepNext/>
        <w:spacing w:before="360" w:after="120"/>
        <w:pBdr>
          <w:bottom w:val="single" w:sz="10" w:space="4" w:color="2B6CB0"/>
        </w:pBdr>
      </w:pPr>
      <w:r>
        <w:rPr>
          <w:rFonts w:ascii="Calibri" w:hAnsi="Calibri"/>
          <w:b/>
          <w:color w:val="1B365D"/>
          <w:sz w:val="28"/>
        </w:rPr>
        <w:t>2. Características de la Integración</w:t>
      </w:r>
    </w:p>
    <w:p>
      <w:pPr>
        <w:spacing w:after="120" w:line="276" w:lineRule="auto"/>
      </w:pPr>
      <w:r>
        <w:rPr>
          <w:rFonts w:ascii="Calibri" w:hAnsi="Calibri"/>
          <w:color w:val="1E293B"/>
          <w:sz w:val="20"/>
        </w:rPr>
        <w:t>La integración entre Aplicación TH y Humand Public API v1 se fundamenta en los siguientes pilares de arquitectura de software y gestión empresarial:</w:t>
      </w:r>
    </w:p>
    <w:p>
      <w:pPr>
        <w:pStyle w:val="ListBullet"/>
        <w:spacing w:after="60" w:line="276" w:lineRule="auto"/>
      </w:pPr>
      <w:r>
        <w:rPr>
          <w:rFonts w:ascii="Calibri" w:hAnsi="Calibri"/>
          <w:b/>
          <w:color w:val="1E293B"/>
          <w:sz w:val="20"/>
        </w:rPr>
        <w:t xml:space="preserve">1. Unidireccionalidad de Autoridad (SSOT): </w:t>
      </w:r>
      <w:r>
        <w:rPr>
          <w:rFonts w:ascii="Calibri" w:hAnsi="Calibri"/>
          <w:color w:val="1E293B"/>
          <w:sz w:val="20"/>
        </w:rPr>
        <w:t>La Aplicación TH (PostgreSQL en InsForge) actúa como la única fuente autoritativa de datos. Humand es un sistema satélite de experiencia, comunicación y autoservicio. Ningún dato manual creado en Humand sobrescribe la base central de TH.</w:t>
      </w:r>
    </w:p>
    <w:p>
      <w:pPr>
        <w:pStyle w:val="ListBullet"/>
        <w:spacing w:after="60" w:line="276" w:lineRule="auto"/>
      </w:pPr>
      <w:r>
        <w:rPr>
          <w:rFonts w:ascii="Calibri" w:hAnsi="Calibri"/>
          <w:b/>
          <w:color w:val="1E293B"/>
          <w:sz w:val="20"/>
        </w:rPr>
        <w:t xml:space="preserve">2. Protocolo Seguro y Autenticación: </w:t>
      </w:r>
      <w:r>
        <w:rPr>
          <w:rFonts w:ascii="Calibri" w:hAnsi="Calibri"/>
          <w:color w:val="1E293B"/>
          <w:sz w:val="20"/>
        </w:rPr>
        <w:t>La comunicación se realiza mediante HTTPS REST API contra https://api-prod.humand.co/public/api/v1 utilizando autenticación estricta en cabecera 'Authorization: Basic {HUMAND_API_KEY}'.</w:t>
      </w:r>
    </w:p>
    <w:p>
      <w:pPr>
        <w:pStyle w:val="ListBullet"/>
        <w:spacing w:after="60" w:line="276" w:lineRule="auto"/>
      </w:pPr>
      <w:r>
        <w:rPr>
          <w:rFonts w:ascii="Calibri" w:hAnsi="Calibri"/>
          <w:b/>
          <w:color w:val="1E293B"/>
          <w:sz w:val="20"/>
        </w:rPr>
        <w:t xml:space="preserve">3. Identificador Único Universal: </w:t>
      </w:r>
      <w:r>
        <w:rPr>
          <w:rFonts w:ascii="Calibri" w:hAnsi="Calibri"/>
          <w:color w:val="1E293B"/>
          <w:sz w:val="20"/>
        </w:rPr>
        <w:t>La cédula de identidad del colaborador (sanitizada numéricamente sin letras V/E, puntos ni guiones, ej. '14714667') actúa como el employeeInternalId en Humand. Esta es la llave unívoca e inmutable que indexa todas las operaciones.</w:t>
      </w:r>
    </w:p>
    <w:p>
      <w:pPr>
        <w:pStyle w:val="ListBullet"/>
        <w:spacing w:after="60" w:line="276" w:lineRule="auto"/>
      </w:pPr>
      <w:r>
        <w:rPr>
          <w:rFonts w:ascii="Calibri" w:hAnsi="Calibri"/>
          <w:b/>
          <w:color w:val="1E293B"/>
          <w:sz w:val="20"/>
        </w:rPr>
        <w:t xml:space="preserve">4. Soporte Multidimensional de Datos: </w:t>
      </w:r>
      <w:r>
        <w:rPr>
          <w:rFonts w:ascii="Calibri" w:hAnsi="Calibri"/>
          <w:color w:val="1E293B"/>
          <w:sz w:val="20"/>
        </w:rPr>
        <w:t>Humand organiza los perfiles mediante tres capas complementarias: (a) Atributos nativos del core (nombre, correo, teléfono, fecha de contratación, fecha de nacimiento); (b) Segmentaciones grupales jerárquicas (Ubicación, Género, Sede); y (c) Profile Fields dinámicos asignados por UUIDs globales.</w:t>
      </w:r>
    </w:p>
    <w:p>
      <w:pPr>
        <w:pStyle w:val="ListBullet"/>
        <w:spacing w:after="60" w:line="276" w:lineRule="auto"/>
      </w:pPr>
      <w:r>
        <w:rPr>
          <w:rFonts w:ascii="Calibri" w:hAnsi="Calibri"/>
          <w:b/>
          <w:color w:val="1E293B"/>
          <w:sz w:val="20"/>
        </w:rPr>
        <w:t xml:space="preserve">5. Organigrama Dinámico Automatizado: </w:t>
      </w:r>
      <w:r>
        <w:rPr>
          <w:rFonts w:ascii="Calibri" w:hAnsi="Calibri"/>
          <w:color w:val="1E293B"/>
          <w:sz w:val="20"/>
        </w:rPr>
        <w:t>Al sincronizar la línea de mando (di_supervisor y di_evaluador), Humand construye el organigrama empresarial de manera automática mediante la asignación de relaciones BOSS y REVIEWER, generando la subordinación bidireccional correspondiente.</w:t>
      </w:r>
    </w:p>
    <w:p>
      <w:pPr>
        <w:keepNext/>
        <w:spacing w:before="360" w:after="120"/>
        <w:pBdr>
          <w:bottom w:val="single" w:sz="10" w:space="4" w:color="2B6CB0"/>
        </w:pBdr>
      </w:pPr>
      <w:r>
        <w:rPr>
          <w:rFonts w:ascii="Calibri" w:hAnsi="Calibri"/>
          <w:b/>
          <w:color w:val="1B365D"/>
          <w:sz w:val="28"/>
        </w:rPr>
        <w:t>3. Premisas Fundamentales de Funcionamiento</w:t>
      </w:r>
    </w:p>
    <w:p>
      <w:pPr>
        <w:spacing w:after="120" w:line="276" w:lineRule="auto"/>
      </w:pPr>
      <w:r>
        <w:rPr>
          <w:rFonts w:ascii="Calibri" w:hAnsi="Calibri"/>
          <w:color w:val="1E293B"/>
          <w:sz w:val="20"/>
        </w:rPr>
        <w:t>Para garantizar la integridad y estabilidad de la nómina y de la plataforma social corporativa, la integración opera bajo reglas inviolables:</w:t>
      </w:r>
    </w:p>
    <w:p>
      <w:pPr>
        <w:keepNext/>
        <w:spacing w:before="260" w:after="80"/>
      </w:pPr>
      <w:r>
        <w:rPr>
          <w:rFonts w:ascii="Calibri" w:hAnsi="Calibri"/>
          <w:b/>
          <w:color w:val="2B6CB0"/>
          <w:sz w:val="24"/>
        </w:rPr>
        <w:t>3.1 Gobierno Interno con el Campo estatus_h (Regla de Exclusión)</w:t>
      </w:r>
    </w:p>
    <w:p>
      <w:pPr>
        <w:spacing w:after="120" w:line="276" w:lineRule="auto"/>
      </w:pPr>
      <w:r>
        <w:rPr>
          <w:rFonts w:ascii="Calibri" w:hAnsi="Calibri"/>
          <w:color w:val="1E293B"/>
          <w:sz w:val="20"/>
        </w:rPr>
        <w:t>Por solicitud de la Gerencia, se ha desacoplado la condición de sincronización respecto al estado laboral convencional (ACTIVO/INACTIVO). Se implementó el campo estatus_h en las tablas maestras de Empleados, Departamentos y Cargos bajo las siguientes premisas:</w:t>
      </w:r>
    </w:p>
    <w:p>
      <w:pPr>
        <w:pStyle w:val="ListBullet"/>
        <w:spacing w:after="60" w:line="276" w:lineRule="auto"/>
      </w:pPr>
      <w:r>
        <w:rPr>
          <w:rFonts w:ascii="Calibri" w:hAnsi="Calibri"/>
          <w:b/>
          <w:color w:val="1E293B"/>
          <w:sz w:val="20"/>
        </w:rPr>
        <w:t xml:space="preserve">estatus_h = 1 (Habilitado Humand): </w:t>
      </w:r>
      <w:r>
        <w:rPr>
          <w:rFonts w:ascii="Calibri" w:hAnsi="Calibri"/>
          <w:color w:val="1E293B"/>
          <w:sz w:val="20"/>
        </w:rPr>
        <w:t>El registro está validado y autorizado para transmitirse hacia Humand durante cualquier proceso de sincronización.</w:t>
      </w:r>
    </w:p>
    <w:p>
      <w:pPr>
        <w:pStyle w:val="ListBullet"/>
        <w:spacing w:after="60" w:line="276" w:lineRule="auto"/>
      </w:pPr>
      <w:r>
        <w:rPr>
          <w:rFonts w:ascii="Calibri" w:hAnsi="Calibri"/>
          <w:b/>
          <w:color w:val="1E293B"/>
          <w:sz w:val="20"/>
        </w:rPr>
        <w:t xml:space="preserve">estatus_h = 0 (Solo TH / Excluido): </w:t>
      </w:r>
      <w:r>
        <w:rPr>
          <w:rFonts w:ascii="Calibri" w:hAnsi="Calibri"/>
          <w:color w:val="1E293B"/>
          <w:sz w:val="20"/>
        </w:rPr>
        <w:t>El registro pertenece única y exclusivamente a la Aplicación TH (nóminas confidenciales, personal externo, directores no vinculados o registros en borrador). NUNCA viajará ni existirá en Humand.</w:t>
      </w:r>
    </w:p>
    <w:p>
      <w:pPr>
        <w:pStyle w:val="ListBullet"/>
        <w:spacing w:after="60" w:line="276" w:lineRule="auto"/>
      </w:pPr>
      <w:r>
        <w:rPr>
          <w:rFonts w:ascii="Calibri" w:hAnsi="Calibri"/>
          <w:b/>
          <w:color w:val="1E293B"/>
          <w:sz w:val="20"/>
        </w:rPr>
        <w:t xml:space="preserve">Invisibilidad Absoluta en Humand: </w:t>
      </w:r>
      <w:r>
        <w:rPr>
          <w:rFonts w:ascii="Calibri" w:hAnsi="Calibri"/>
          <w:color w:val="1E293B"/>
          <w:sz w:val="20"/>
        </w:rPr>
        <w:t>El campo estatus_h NO existe en Humand, no se crea como profile field, ni se muestra a los usuarios en la aplicación móvil ni web. Funciona estrictamente tras bastidores como una compuerta lógica interna.</w:t>
      </w:r>
    </w:p>
    <w:tbl>
      <w:tblPr>
        <w:tblW w:type="auto" w:w="0"/>
        <w:jc w:val="center"/>
        <w:tblLook w:firstColumn="1" w:firstRow="1" w:lastColumn="0" w:lastRow="0" w:noHBand="0" w:noVBand="1" w:val="04A0"/>
        <w:tblBorders>
          <w:top w:val="none"/>
          <w:left w:val="single" w:sz="24" w:space="0" w:color="1B365D"/>
          <w:bottom w:val="none"/>
          <w:right w:val="none"/>
          <w:insideH w:val="none"/>
          <w:insideV w:val="none"/>
        </w:tblBorders>
      </w:tblPr>
      <w:tblGrid>
        <w:gridCol w:w="9360"/>
      </w:tblGrid>
      <w:tr>
        <w:tc>
          <w:tcPr>
            <w:tcW w:type="dxa" w:w="9360"/>
            <w:shd w:fill="F8FAFC"/>
            <w:tcMar>
              <w:top w:w="140" w:type="dxa"/>
              <w:bottom w:w="140" w:type="dxa"/>
              <w:left w:w="200" w:type="dxa"/>
              <w:right w:w="200" w:type="dxa"/>
            </w:tcMar>
          </w:tcPr>
          <w:p>
            <w:pPr>
              <w:spacing w:after="60"/>
            </w:pPr>
            <w:r>
              <w:rPr>
                <w:rFonts w:ascii="Calibri" w:hAnsi="Calibri"/>
                <w:b/>
                <w:color w:val="1B365D"/>
                <w:sz w:val="21"/>
              </w:rPr>
              <w:t>Auditoría Actual de la Nómina (Octubre 2026):</w:t>
            </w:r>
          </w:p>
          <w:p>
            <w:pPr>
              <w:spacing w:after="0" w:line="276" w:lineRule="auto"/>
            </w:pPr>
            <w:r>
              <w:rPr>
                <w:rFonts w:ascii="Calibri" w:hAnsi="Calibri"/>
                <w:color w:val="1E293B"/>
                <w:sz w:val="19"/>
              </w:rPr>
              <w:t>Total Colaboradores en Aplicación TH: 187 colaboradores activos.</w:t>
              <w:br/>
              <w:t>• Cobertura de Fechas de Nacimiento en BD: 187 de 187 colaboradores (100.0% de cobertura confirmada).</w:t>
              <w:br/>
              <w:t>• Colaboradores asignados y vinculados en Humand: 163 personas principales (100% coincidentes con Humand).</w:t>
              <w:br/>
              <w:t>• Colaboradores en fase de homologación de correo corporativo: 13 colaboradores pendientes.</w:t>
              <w:br/>
              <w:t>• Colaboradores exclusivos o confidenciales de TH: Protegidos bajo estatus_h = 0.</w:t>
            </w:r>
          </w:p>
        </w:tc>
      </w:tr>
    </w:tbl>
    <w:p>
      <w:pPr>
        <w:spacing w:after="120"/>
      </w:pPr>
    </w:p>
    <w:p>
      <w:pPr>
        <w:keepNext/>
        <w:spacing w:before="260" w:after="80"/>
      </w:pPr>
      <w:r>
        <w:rPr>
          <w:rFonts w:ascii="Calibri" w:hAnsi="Calibri"/>
          <w:b/>
          <w:color w:val="2B6CB0"/>
          <w:sz w:val="24"/>
        </w:rPr>
        <w:t>3.2 Política Antispam en Correo Electrónico</w:t>
      </w:r>
    </w:p>
    <w:p>
      <w:pPr>
        <w:spacing w:after="120" w:line="276" w:lineRule="auto"/>
      </w:pPr>
      <w:r>
        <w:rPr>
          <w:rFonts w:ascii="Calibri" w:hAnsi="Calibri"/>
          <w:color w:val="1E293B"/>
          <w:sz w:val="20"/>
        </w:rPr>
        <w:t>La creación de usuarios en Humand mediante el endpoint POST /users dispara automáticamente un correo electrónico de invitación al empleado si posee dirección de correo. Para evitar saturar a los colaboradores o enviar correos en fases de prueba, la integración utiliza PUT /users o PATCH /users/{id}. Bajo estos métodos, los usuarios se aprovisionan o actualizan de forma completamente silenciosa, permitiendo que la Gerencia de Talento Humano decida el momento exacto para lanzar formalmente la invitación corporativa o capacitaciones.</w:t>
      </w:r>
    </w:p>
    <w:p>
      <w:pPr>
        <w:keepNext/>
        <w:spacing w:before="260" w:after="80"/>
      </w:pPr>
      <w:r>
        <w:rPr>
          <w:rFonts w:ascii="Calibri" w:hAnsi="Calibri"/>
          <w:b/>
          <w:color w:val="2B6CB0"/>
          <w:sz w:val="24"/>
        </w:rPr>
        <w:t>3.3 Protección Incondicional de Cuentas Técnicas</w:t>
      </w:r>
    </w:p>
    <w:p>
      <w:pPr>
        <w:spacing w:after="120" w:line="276" w:lineRule="auto"/>
      </w:pPr>
      <w:r>
        <w:rPr>
          <w:rFonts w:ascii="Calibri" w:hAnsi="Calibri"/>
          <w:color w:val="1E293B"/>
          <w:sz w:val="20"/>
        </w:rPr>
        <w:t>Los motores de conciliación y sincronización tienen programada una lista blanca (Whitelisting) inalterable. Bajo ninguna circunstancia se modifican, desactivan ni eliminan las cuentas técnicas y de administración de la plataforma:</w:t>
      </w:r>
    </w:p>
    <w:p>
      <w:pPr>
        <w:pStyle w:val="ListBullet"/>
        <w:spacing w:after="60" w:line="276" w:lineRule="auto"/>
      </w:pPr>
      <w:r>
        <w:rPr>
          <w:rFonts w:ascii="Calibri" w:hAnsi="Calibri"/>
          <w:b/>
          <w:color w:val="1E293B"/>
          <w:sz w:val="20"/>
        </w:rPr>
        <w:t xml:space="preserve">carolina.ellena@humand.co: </w:t>
      </w:r>
      <w:r>
        <w:rPr>
          <w:rFonts w:ascii="Calibri" w:hAnsi="Calibri"/>
          <w:color w:val="1E293B"/>
          <w:sz w:val="20"/>
        </w:rPr>
        <w:t>Cuenta de acompañamiento técnico y consultoría de implementación de Humand.</w:t>
      </w:r>
    </w:p>
    <w:p>
      <w:pPr>
        <w:pStyle w:val="ListBullet"/>
        <w:spacing w:after="60" w:line="276" w:lineRule="auto"/>
      </w:pPr>
      <w:r>
        <w:rPr>
          <w:rFonts w:ascii="Calibri" w:hAnsi="Calibri"/>
          <w:b/>
          <w:color w:val="1E293B"/>
          <w:sz w:val="20"/>
        </w:rPr>
        <w:t xml:space="preserve">integracionespb: </w:t>
      </w:r>
      <w:r>
        <w:rPr>
          <w:rFonts w:ascii="Calibri" w:hAnsi="Calibri"/>
          <w:color w:val="1E293B"/>
          <w:sz w:val="20"/>
        </w:rPr>
        <w:t>Usuario del sistema y servicio asociado a la API Key con permisos de lectura/escritura.</w:t>
      </w:r>
    </w:p>
    <w:p>
      <w:pPr>
        <w:pStyle w:val="ListBullet"/>
        <w:spacing w:after="60" w:line="276" w:lineRule="auto"/>
      </w:pPr>
      <w:r>
        <w:rPr>
          <w:rFonts w:ascii="Calibri" w:hAnsi="Calibri"/>
          <w:b/>
          <w:color w:val="1E293B"/>
          <w:sz w:val="20"/>
        </w:rPr>
        <w:t xml:space="preserve">comunicacionespb: </w:t>
      </w:r>
      <w:r>
        <w:rPr>
          <w:rFonts w:ascii="Calibri" w:hAnsi="Calibri"/>
          <w:color w:val="1E293B"/>
          <w:sz w:val="20"/>
        </w:rPr>
        <w:t>Cuenta oficial para la publicación de noticias, reconocimientos y banners institucionales.</w:t>
      </w:r>
    </w:p>
    <w:p>
      <w:pPr>
        <w:keepNext/>
        <w:spacing w:before="260" w:after="80"/>
      </w:pPr>
      <w:r>
        <w:rPr>
          <w:rFonts w:ascii="Calibri" w:hAnsi="Calibri"/>
          <w:b/>
          <w:color w:val="2B6CB0"/>
          <w:sz w:val="24"/>
        </w:rPr>
        <w:t>3.4 Resiliencia ante Rate Limits de la API</w:t>
      </w:r>
    </w:p>
    <w:p>
      <w:pPr>
        <w:spacing w:after="120" w:line="276" w:lineRule="auto"/>
      </w:pPr>
      <w:r>
        <w:rPr>
          <w:rFonts w:ascii="Calibri" w:hAnsi="Calibri"/>
          <w:color w:val="1E293B"/>
          <w:sz w:val="20"/>
        </w:rPr>
        <w:t>Humand impone un límite de seguridad de 50 peticiones por minuto (RateLimit-Policy: 50;w=60). Si este límite se sobrepasa, la API responde con HTTP 429 Too Many Requests. El motor de sincronización de la Aplicación TH incorpora automáticamente lógica de reintentos con Backoff Exponencial y lectura de la cabecera 'Retry-After', además de una pausa programada de 200 ms entre colaboradores, garantizando que ninguna transacción se pierda y que el proceso se ejecute con total fluidez.</w:t>
      </w:r>
    </w:p>
    <w:p>
      <w:pPr>
        <w:keepNext/>
        <w:spacing w:before="360" w:after="120"/>
        <w:pBdr>
          <w:bottom w:val="single" w:sz="10" w:space="4" w:color="2B6CB0"/>
        </w:pBdr>
      </w:pPr>
      <w:r>
        <w:rPr>
          <w:rFonts w:ascii="Calibri" w:hAnsi="Calibri"/>
          <w:b/>
          <w:color w:val="1B365D"/>
          <w:sz w:val="28"/>
        </w:rPr>
        <w:t>4. Catálogo y Mapeo de Campos Nativos y Extendidos</w:t>
      </w:r>
    </w:p>
    <w:p>
      <w:pPr>
        <w:spacing w:after="120" w:line="276" w:lineRule="auto"/>
      </w:pPr>
      <w:r>
        <w:rPr>
          <w:rFonts w:ascii="Calibri" w:hAnsi="Calibri"/>
          <w:color w:val="1E293B"/>
          <w:sz w:val="20"/>
        </w:rPr>
        <w:t>Para dar cumplimiento integral a los requerimientos de la Gerencia, se implementaron en la base de datos de TH y se sincronizan con Humand los siguientes atributos corporativos, mapeados según los estándares exactos de la API:</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30" w:type="dxa"/>
              <w:bottom w:w="130" w:type="dxa"/>
              <w:left w:w="140" w:type="dxa"/>
              <w:right w:w="140" w:type="dxa"/>
            </w:tcMar>
            <w:vAlign w:val="center"/>
          </w:tcPr>
          <w:p>
            <w:pPr>
              <w:jc w:val="left"/>
            </w:pPr>
            <w:r>
              <w:rPr>
                <w:rFonts w:ascii="Calibri" w:hAnsi="Calibri"/>
                <w:b/>
                <w:color w:val="FFFFFF"/>
                <w:sz w:val="19"/>
              </w:rPr>
              <w:t>Campo en TH</w:t>
            </w:r>
          </w:p>
        </w:tc>
        <w:tc>
          <w:tcPr>
            <w:tcW w:type="dxa" w:w="2160"/>
            <w:shd w:fill="1B365D"/>
            <w:tcMar>
              <w:top w:w="130" w:type="dxa"/>
              <w:bottom w:w="130" w:type="dxa"/>
              <w:left w:w="140" w:type="dxa"/>
              <w:right w:w="140" w:type="dxa"/>
            </w:tcMar>
            <w:vAlign w:val="center"/>
          </w:tcPr>
          <w:p>
            <w:pPr>
              <w:jc w:val="left"/>
            </w:pPr>
            <w:r>
              <w:rPr>
                <w:rFonts w:ascii="Calibri" w:hAnsi="Calibri"/>
                <w:b/>
                <w:color w:val="FFFFFF"/>
                <w:sz w:val="19"/>
              </w:rPr>
              <w:t>Destino en Humand</w:t>
            </w:r>
          </w:p>
        </w:tc>
        <w:tc>
          <w:tcPr>
            <w:tcW w:type="dxa" w:w="2592"/>
            <w:shd w:fill="1B365D"/>
            <w:tcMar>
              <w:top w:w="130" w:type="dxa"/>
              <w:bottom w:w="130" w:type="dxa"/>
              <w:left w:w="140" w:type="dxa"/>
              <w:right w:w="140" w:type="dxa"/>
            </w:tcMar>
            <w:vAlign w:val="center"/>
          </w:tcPr>
          <w:p>
            <w:pPr>
              <w:jc w:val="left"/>
            </w:pPr>
            <w:r>
              <w:rPr>
                <w:rFonts w:ascii="Calibri" w:hAnsi="Calibri"/>
                <w:b/>
                <w:color w:val="FFFFFF"/>
                <w:sz w:val="19"/>
              </w:rPr>
              <w:t>Identificador Técnico Humand</w:t>
            </w:r>
          </w:p>
        </w:tc>
        <w:tc>
          <w:tcPr>
            <w:tcW w:type="dxa" w:w="2448"/>
            <w:shd w:fill="1B365D"/>
            <w:tcMar>
              <w:top w:w="130" w:type="dxa"/>
              <w:bottom w:w="130" w:type="dxa"/>
              <w:left w:w="140" w:type="dxa"/>
              <w:right w:w="140" w:type="dxa"/>
            </w:tcMar>
            <w:vAlign w:val="center"/>
          </w:tcPr>
          <w:p>
            <w:pPr>
              <w:jc w:val="left"/>
            </w:pPr>
            <w:r>
              <w:rPr>
                <w:rFonts w:ascii="Calibri" w:hAnsi="Calibri"/>
                <w:b/>
                <w:color w:val="FFFFFF"/>
                <w:sz w:val="19"/>
              </w:rPr>
              <w:t>Valores / Formato Homologado</w:t>
            </w:r>
          </w:p>
        </w:tc>
      </w:tr>
      <w:tr>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Fecha de Nacimiento</w:t>
              <w:br/>
              <w:t>(fecha_nacimiento)</w:t>
              <w:br/>
              <w:t>[NUEVO]</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Atributo Nativo Core</w:t>
              <w:br/>
              <w:t>('birthdate')</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Parámetro direct: birthdate</w:t>
              <w:br/>
              <w:t>(PATCH /users/{id})</w:t>
            </w:r>
          </w:p>
        </w:tc>
        <w:tc>
          <w:tcPr>
            <w:tcW w:type="dxa" w:w="2448"/>
            <w:shd w:fill="FFFFFF"/>
            <w:tcMar>
              <w:top w:w="100" w:type="dxa"/>
              <w:bottom w:w="100" w:type="dxa"/>
              <w:left w:w="140" w:type="dxa"/>
              <w:right w:w="140" w:type="dxa"/>
            </w:tcMar>
            <w:vAlign w:val="center"/>
          </w:tcPr>
          <w:p>
            <w:pPr>
              <w:spacing w:after="0" w:line="264" w:lineRule="auto"/>
            </w:pPr>
            <w:r>
              <w:rPr>
                <w:rFonts w:ascii="Calibri" w:hAnsi="Calibri"/>
                <w:color w:val="1E293B"/>
                <w:sz w:val="18"/>
              </w:rPr>
              <w:t>Formato ISO 'AAAA-MM-DD'</w:t>
              <w:br/>
              <w:t>(ej. '1995-04-19'). 100% poblado en BD.</w:t>
            </w:r>
          </w:p>
        </w:tc>
      </w:tr>
      <w:tr>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Ubicación</w:t>
              <w:br/>
              <w:t>(ubicacion)</w:t>
            </w:r>
          </w:p>
        </w:tc>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Segmentación Grupal</w:t>
              <w:br/>
              <w:t>('Ubicación')</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Group ID: 451900</w:t>
              <w:br/>
              <w:t>(POST /segmentations/users)</w:t>
            </w:r>
          </w:p>
        </w:tc>
        <w:tc>
          <w:tcPr>
            <w:tcW w:type="dxa" w:w="2448"/>
            <w:shd w:fill="F8FAFC"/>
            <w:tcMar>
              <w:top w:w="100" w:type="dxa"/>
              <w:bottom w:w="100" w:type="dxa"/>
              <w:left w:w="140" w:type="dxa"/>
              <w:right w:w="140" w:type="dxa"/>
            </w:tcMar>
            <w:vAlign w:val="center"/>
          </w:tcPr>
          <w:p>
            <w:pPr>
              <w:spacing w:after="0" w:line="264" w:lineRule="auto"/>
            </w:pPr>
            <w:r>
              <w:rPr>
                <w:rFonts w:ascii="Calibri" w:hAnsi="Calibri"/>
                <w:color w:val="1E293B"/>
                <w:sz w:val="18"/>
              </w:rPr>
              <w:t>Caracas, Yagua, Barquisimeto, Maracaibo, Valencia, Puerto Ordaz, San Cristóbal</w:t>
            </w:r>
          </w:p>
        </w:tc>
      </w:tr>
      <w:tr>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Estado Civil</w:t>
              <w:br/>
              <w:t>(edo_civil)</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Profile Field</w:t>
              <w:br/>
              <w:t>(Confidencial)</w:t>
            </w:r>
          </w:p>
        </w:tc>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UUID:</w:t>
              <w:br/>
              <w:t>52005932-0bdb-438d-834c-82d8e3330e26</w:t>
            </w:r>
          </w:p>
        </w:tc>
        <w:tc>
          <w:tcPr>
            <w:tcW w:type="dxa" w:w="2448"/>
            <w:shd w:fill="FFFFFF"/>
            <w:tcMar>
              <w:top w:w="100" w:type="dxa"/>
              <w:bottom w:w="100" w:type="dxa"/>
              <w:left w:w="140" w:type="dxa"/>
              <w:right w:w="140" w:type="dxa"/>
            </w:tcMar>
            <w:vAlign w:val="center"/>
          </w:tcPr>
          <w:p>
            <w:pPr>
              <w:spacing w:after="0" w:line="264" w:lineRule="auto"/>
            </w:pPr>
            <w:r>
              <w:rPr>
                <w:rFonts w:ascii="Calibri" w:hAnsi="Calibri"/>
                <w:color w:val="1E293B"/>
                <w:sz w:val="18"/>
              </w:rPr>
              <w:t>Soltero, Casado, Divorciado, Viudo, Concubinato</w:t>
            </w:r>
          </w:p>
        </w:tc>
      </w:tr>
      <w:tr>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Nivel Educativo</w:t>
              <w:br/>
              <w:t>(nivel_educativo)</w:t>
            </w:r>
          </w:p>
        </w:tc>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Profile Field</w:t>
              <w:br/>
              <w:t>(Visible/Público)</w:t>
            </w:r>
          </w:p>
        </w:tc>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UUID:</w:t>
              <w:br/>
              <w:t>a0b1e6b5-4bc7-444b-a27c-2844dd5a9532</w:t>
            </w:r>
          </w:p>
        </w:tc>
        <w:tc>
          <w:tcPr>
            <w:tcW w:type="dxa" w:w="2448"/>
            <w:shd w:fill="F8FAFC"/>
            <w:tcMar>
              <w:top w:w="100" w:type="dxa"/>
              <w:bottom w:w="100" w:type="dxa"/>
              <w:left w:w="140" w:type="dxa"/>
              <w:right w:w="140" w:type="dxa"/>
            </w:tcMar>
            <w:vAlign w:val="center"/>
          </w:tcPr>
          <w:p>
            <w:pPr>
              <w:spacing w:after="0" w:line="264" w:lineRule="auto"/>
            </w:pPr>
            <w:r>
              <w:rPr>
                <w:rFonts w:ascii="Calibri" w:hAnsi="Calibri"/>
                <w:color w:val="1E293B"/>
                <w:sz w:val="18"/>
              </w:rPr>
              <w:t>Bachiller, Técnico Medio, Técnico Superior, Universitario, Posgrado</w:t>
            </w:r>
          </w:p>
        </w:tc>
      </w:tr>
    </w:tbl>
    <w:p>
      <w:pPr>
        <w:spacing w:after="120" w:line="276" w:lineRule="auto"/>
      </w:pPr>
      <w:r>
        <w:rPr>
          <w:rFonts w:ascii="Calibri" w:hAnsi="Calibri"/>
          <w:color w:val="1E293B"/>
          <w:sz w:val="20"/>
        </w:rPr>
        <w:t>Nota Técnica de Homologación y Exportación: En la Aplicación TH, los selectores de la interfaz gráfica y los esquemas de base de datos fueron restringidos para coincidir al 100% con los estándares de Humand. Adicionalmente, el maestro de empleados ahora incluye la Fecha de Nacimiento y la Fecha de Ingreso en columnas dedicadas independientes, y segrega el Estado Civil y Nivel Educativo en campos separados en la exportación CSV para facilitar reportes gerenciales y de nómina.</w:t>
      </w:r>
    </w:p>
    <w:p>
      <w:pPr>
        <w:keepNext/>
        <w:spacing w:before="360" w:after="120"/>
        <w:pBdr>
          <w:bottom w:val="single" w:sz="10" w:space="4" w:color="2B6CB0"/>
        </w:pBdr>
      </w:pPr>
      <w:r>
        <w:rPr>
          <w:rFonts w:ascii="Calibri" w:hAnsi="Calibri"/>
          <w:b/>
          <w:color w:val="1B365D"/>
          <w:sz w:val="28"/>
        </w:rPr>
        <w:t>5. Ciclo de Vida del Colaborador en la Integración</w:t>
      </w:r>
    </w:p>
    <w:p>
      <w:pPr>
        <w:spacing w:after="120" w:line="276" w:lineRule="auto"/>
      </w:pPr>
      <w:r>
        <w:rPr>
          <w:rFonts w:ascii="Calibri" w:hAnsi="Calibri"/>
          <w:color w:val="1E293B"/>
          <w:sz w:val="20"/>
        </w:rPr>
        <w:t>La integración acompaña todas las etapas de la relación laboral del colaborador, actuando según el evento que ocurra en la Aplicación TH:</w:t>
      </w:r>
    </w:p>
    <w:p>
      <w:pPr>
        <w:pStyle w:val="ListBullet"/>
        <w:spacing w:after="60" w:line="276" w:lineRule="auto"/>
      </w:pPr>
      <w:r>
        <w:rPr>
          <w:rFonts w:ascii="Calibri" w:hAnsi="Calibri"/>
          <w:b/>
          <w:color w:val="1E293B"/>
          <w:sz w:val="20"/>
        </w:rPr>
        <w:t xml:space="preserve">A. Alta o Contratación: </w:t>
      </w:r>
      <w:r>
        <w:rPr>
          <w:rFonts w:ascii="Calibri" w:hAnsi="Calibri"/>
          <w:color w:val="1E293B"/>
          <w:sz w:val="20"/>
        </w:rPr>
        <w:t>Al registrar un nuevo empleado en TH con estatus_h = 1, el motor lo inserta en Humand vía PUT /users sin disparar correos automáticos. Inmediatamente se le asocia su Ubicación geográfica, su Estado Civil, Nivel Educativo, Fecha de Nacimiento, Departamento y Puesto de Trabajo.</w:t>
      </w:r>
    </w:p>
    <w:p>
      <w:pPr>
        <w:pStyle w:val="ListBullet"/>
        <w:spacing w:after="60" w:line="276" w:lineRule="auto"/>
      </w:pPr>
      <w:r>
        <w:rPr>
          <w:rFonts w:ascii="Calibri" w:hAnsi="Calibri"/>
          <w:b/>
          <w:color w:val="1E293B"/>
          <w:sz w:val="20"/>
        </w:rPr>
        <w:t xml:space="preserve">B. Modificación o Movimiento Interno: </w:t>
      </w:r>
      <w:r>
        <w:rPr>
          <w:rFonts w:ascii="Calibri" w:hAnsi="Calibri"/>
          <w:color w:val="1E293B"/>
          <w:sz w:val="20"/>
        </w:rPr>
        <w:t>Cuando se edita un campo puntual (por ejemplo: carga de fecha de nacimiento, nuevo teléfono o cambio de correo), el sistema ejecuta una llamada PATCH selectiva. Solo viaja el dato modificado, manteniendo intacto el expediente histórico.</w:t>
      </w:r>
    </w:p>
    <w:p>
      <w:pPr>
        <w:pStyle w:val="ListBullet"/>
        <w:spacing w:after="60" w:line="276" w:lineRule="auto"/>
      </w:pPr>
      <w:r>
        <w:rPr>
          <w:rFonts w:ascii="Calibri" w:hAnsi="Calibri"/>
          <w:b/>
          <w:color w:val="1E293B"/>
          <w:sz w:val="20"/>
        </w:rPr>
        <w:t xml:space="preserve">C. Baja o Desvinculación Formal (Offboarding): </w:t>
      </w:r>
      <w:r>
        <w:rPr>
          <w:rFonts w:ascii="Calibri" w:hAnsi="Calibri"/>
          <w:color w:val="1E293B"/>
          <w:sz w:val="20"/>
        </w:rPr>
        <w:t>Si un colaborador finaliza su relación laboral y se marca INACTIVO en TH, la integración ejecuta el endpoint POST /users/{id}/deactivate especificando el motivo (Renuncia, Fin de Contrato, Jubilación). Fundamentalmente, permite transferir la jefatura de los subordinados a un nuevo líder mediante el parámetro newBossId, evitando que los equipos queden sin supervisor en el organigrama.</w:t>
      </w:r>
    </w:p>
    <w:p>
      <w:pPr>
        <w:keepNext/>
        <w:spacing w:before="360" w:after="120"/>
        <w:pBdr>
          <w:bottom w:val="single" w:sz="10" w:space="4" w:color="2B6CB0"/>
        </w:pBdr>
      </w:pPr>
      <w:r>
        <w:rPr>
          <w:rFonts w:ascii="Calibri" w:hAnsi="Calibri"/>
          <w:b/>
          <w:color w:val="1B365D"/>
          <w:sz w:val="28"/>
        </w:rPr>
        <w:t>6. Conclusiones y Próximos Pasos Estratégicos</w:t>
      </w:r>
    </w:p>
    <w:p>
      <w:pPr>
        <w:spacing w:after="120" w:line="276" w:lineRule="auto"/>
      </w:pPr>
      <w:r>
        <w:rPr>
          <w:rFonts w:ascii="Calibri" w:hAnsi="Calibri"/>
          <w:color w:val="1E293B"/>
          <w:sz w:val="20"/>
        </w:rPr>
        <w:t>1. Flexibilidad y Autonomía Absoluta: La Dirección de Talento Humano cuenta ahora con una herramienta de Sincronización Selectiva por Campos que le permite actualizar en Humand exactamente lo que necesita, cuando lo necesita, sin depender de procesos masivos pesados ni alterar la estructura organizativa.</w:t>
      </w:r>
    </w:p>
    <w:p>
      <w:pPr>
        <w:spacing w:after="120" w:line="276" w:lineRule="auto"/>
      </w:pPr>
      <w:r>
        <w:rPr>
          <w:rFonts w:ascii="Calibri" w:hAnsi="Calibri"/>
          <w:color w:val="1E293B"/>
          <w:sz w:val="20"/>
        </w:rPr>
        <w:t>2. Cobertura Total de Fechas de Nacimiento: Se ha cerrado la brecha de información biográfica en la nómina. Con el 100% de las fechas cargadas en TH y el endpoint PATCH configurado, el ecosistema está listo para celebrar cumpleaños corporativos y activar dinámicas de fidelización en Humand.</w:t>
      </w:r>
    </w:p>
    <w:p>
      <w:pPr>
        <w:spacing w:after="120" w:line="276" w:lineRule="auto"/>
      </w:pPr>
      <w:r>
        <w:rPr>
          <w:rFonts w:ascii="Calibri" w:hAnsi="Calibri"/>
          <w:color w:val="1E293B"/>
          <w:sz w:val="20"/>
        </w:rPr>
        <w:t>3. Plataforma Lista para Fases Siguientes: Al tener los catálogos, puestos, departamentos, segmentaciones de ubicación y datos extendidos 100% alineados, el ecosistema queda completamente preparado para conectar los módulos avanzados de Humand:</w:t>
      </w:r>
    </w:p>
    <w:p>
      <w:pPr>
        <w:pStyle w:val="ListBullet"/>
        <w:spacing w:after="60" w:line="276" w:lineRule="auto"/>
      </w:pPr>
      <w:r>
        <w:rPr>
          <w:rFonts w:ascii="Calibri" w:hAnsi="Calibri"/>
          <w:b/>
          <w:color w:val="1E293B"/>
          <w:sz w:val="20"/>
        </w:rPr>
        <w:t xml:space="preserve">• Módulo Time-Off: </w:t>
      </w:r>
      <w:r>
        <w:rPr>
          <w:rFonts w:ascii="Calibri" w:hAnsi="Calibri"/>
          <w:color w:val="1E293B"/>
          <w:sz w:val="20"/>
        </w:rPr>
        <w:t>Para la consulta de solicitudes de vacaciones aprobadas y su descuento automático en el balance de días de TH.</w:t>
      </w:r>
    </w:p>
    <w:p>
      <w:pPr>
        <w:pStyle w:val="ListBullet"/>
        <w:spacing w:after="60" w:line="276" w:lineRule="auto"/>
      </w:pPr>
      <w:r>
        <w:rPr>
          <w:rFonts w:ascii="Calibri" w:hAnsi="Calibri"/>
          <w:b/>
          <w:color w:val="1E293B"/>
          <w:sz w:val="20"/>
        </w:rPr>
        <w:t xml:space="preserve">• Módulo Time-Tracking: </w:t>
      </w:r>
      <w:r>
        <w:rPr>
          <w:rFonts w:ascii="Calibri" w:hAnsi="Calibri"/>
          <w:color w:val="1E293B"/>
          <w:sz w:val="20"/>
        </w:rPr>
        <w:t>Para la lectura programática de marcas de entrada y salida orientadas a la prenómina.</w:t>
      </w:r>
    </w:p>
    <w:p>
      <w:pPr>
        <w:pStyle w:val="ListBullet"/>
        <w:spacing w:after="60" w:line="276" w:lineRule="auto"/>
      </w:pPr>
      <w:r>
        <w:rPr>
          <w:rFonts w:ascii="Calibri" w:hAnsi="Calibri"/>
          <w:b/>
          <w:color w:val="1E293B"/>
          <w:sz w:val="20"/>
        </w:rPr>
        <w:t xml:space="preserve">• Módulo Documentos de Nómina: </w:t>
      </w:r>
      <w:r>
        <w:rPr>
          <w:rFonts w:ascii="Calibri" w:hAnsi="Calibri"/>
          <w:color w:val="1E293B"/>
          <w:sz w:val="20"/>
        </w:rPr>
        <w:t>Para la distribución digital y segura de recibos de pago en PDF directamente al perfil móvil de cada empleado.</w:t>
      </w:r>
    </w:p>
    <w:p>
      <w:pPr>
        <w:spacing w:after="400"/>
      </w:pPr>
    </w:p>
    <w:p>
      <w:pPr>
        <w:spacing w:line="276" w:lineRule="auto"/>
      </w:pPr>
      <w:r>
        <w:rPr>
          <w:rFonts w:ascii="Calibri" w:hAnsi="Calibri"/>
          <w:b/>
          <w:color w:val="1B365D"/>
          <w:sz w:val="20"/>
        </w:rPr>
        <w:t>DIRECCIÓN DE SISTEMAS Y TECNOLOGÍA</w:t>
        <w:br/>
      </w:r>
      <w:r>
        <w:rPr>
          <w:rFonts w:ascii="Calibri" w:hAnsi="Calibri"/>
          <w:color w:val="64748B"/>
          <w:sz w:val="19"/>
        </w:rPr>
        <w:t>Liderazgo de Arquitectura Cloud e Integraciones Empresariales</w:t>
        <w:br/>
        <w:t>Corporación Ponce &amp; Benzo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