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61EC" w14:textId="2ED4FA03" w:rsidR="00270800" w:rsidRPr="009D0F9E" w:rsidRDefault="00000000">
      <w:pPr>
        <w:jc w:val="right"/>
        <w:rPr>
          <w:lang w:val="es-VE"/>
        </w:rPr>
      </w:pPr>
      <w:r w:rsidRPr="009D0F9E">
        <w:rPr>
          <w:rFonts w:ascii="Calibri" w:hAnsi="Calibri"/>
          <w:b/>
          <w:color w:val="64748B"/>
          <w:sz w:val="17"/>
          <w:lang w:val="es-VE"/>
        </w:rPr>
        <w:t xml:space="preserve">PONCE &amp; BENZO | DIRECCIÓN DE SISTEMAS </w:t>
      </w:r>
      <w:r w:rsidR="008A20B3">
        <w:rPr>
          <w:rFonts w:ascii="Calibri" w:hAnsi="Calibri"/>
          <w:b/>
          <w:color w:val="64748B"/>
          <w:sz w:val="17"/>
          <w:lang w:val="es-VE"/>
        </w:rPr>
        <w:t>&amp; T</w:t>
      </w:r>
      <w:r w:rsidRPr="009D0F9E">
        <w:rPr>
          <w:rFonts w:ascii="Calibri" w:hAnsi="Calibri"/>
          <w:b/>
          <w:color w:val="64748B"/>
          <w:sz w:val="17"/>
          <w:lang w:val="es-VE"/>
        </w:rPr>
        <w:t>ECNOLOGÍA</w:t>
      </w:r>
    </w:p>
    <w:p w14:paraId="41B288BB" w14:textId="77777777" w:rsidR="00270800" w:rsidRPr="009D0F9E" w:rsidRDefault="00000000">
      <w:pPr>
        <w:spacing w:before="320" w:after="80"/>
        <w:rPr>
          <w:lang w:val="es-VE"/>
        </w:rPr>
      </w:pPr>
      <w:r w:rsidRPr="009D0F9E">
        <w:rPr>
          <w:rFonts w:ascii="Calibri" w:hAnsi="Calibri"/>
          <w:b/>
          <w:color w:val="1B365D"/>
          <w:sz w:val="44"/>
          <w:lang w:val="es-VE"/>
        </w:rPr>
        <w:t>Informe Gerencial de Arquitectura e Integración TH ↔ Humand</w:t>
      </w:r>
    </w:p>
    <w:p w14:paraId="79343A48" w14:textId="77777777" w:rsidR="00270800" w:rsidRPr="009D0F9E" w:rsidRDefault="00000000">
      <w:pPr>
        <w:spacing w:after="360"/>
        <w:rPr>
          <w:lang w:val="es-VE"/>
        </w:rPr>
      </w:pPr>
      <w:r w:rsidRPr="009D0F9E">
        <w:rPr>
          <w:rFonts w:ascii="Calibri" w:hAnsi="Calibri"/>
          <w:color w:val="2B6CB0"/>
          <w:sz w:val="24"/>
          <w:lang w:val="es-VE"/>
        </w:rPr>
        <w:t>Funcionamiento del Modelo de Sincronización, Alcance Total vs. Parcial, Premisas Técnicas y Gobierno de Datos</w:t>
      </w:r>
    </w:p>
    <w:p w14:paraId="63ACDFE1" w14:textId="77777777" w:rsidR="00270800" w:rsidRPr="009D0F9E" w:rsidRDefault="00270800">
      <w:pPr>
        <w:pBdr>
          <w:bottom w:val="single" w:sz="18" w:space="2" w:color="1B365D"/>
        </w:pBdr>
        <w:spacing w:after="320"/>
        <w:rPr>
          <w:lang w:val="es-VE"/>
        </w:rPr>
      </w:pP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270800" w:rsidRPr="00FD25A2" w14:paraId="3C18F6DC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5A129" w14:textId="77777777" w:rsidR="00270800" w:rsidRDefault="0000000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Proyecto / Iniciativa: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4ADB6" w14:textId="77777777" w:rsidR="00270800" w:rsidRPr="009D0F9E" w:rsidRDefault="00000000">
            <w:pPr>
              <w:spacing w:after="0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Plataforma Integral de Talento Humano — Ecosistema Digital Ponce &amp; Benzo</w:t>
            </w:r>
          </w:p>
        </w:tc>
      </w:tr>
      <w:tr w:rsidR="00270800" w:rsidRPr="00FD25A2" w14:paraId="56BFBAB5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3244D" w14:textId="77777777" w:rsidR="00270800" w:rsidRDefault="0000000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Destinatarios: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4514C" w14:textId="77777777" w:rsidR="00270800" w:rsidRPr="009D0F9E" w:rsidRDefault="00000000">
            <w:pPr>
              <w:spacing w:after="0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Dirección General, Dirección de Sistemas &amp; Tecnología, Gerencia de Talento Humano</w:t>
            </w:r>
          </w:p>
        </w:tc>
      </w:tr>
      <w:tr w:rsidR="00270800" w14:paraId="718E63D8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A9363" w14:textId="77777777" w:rsidR="00270800" w:rsidRDefault="0000000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Fecha de Emisión: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50A71" w14:textId="77777777" w:rsidR="00270800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Octubre 2026 | Versión Oficial 2.0</w:t>
            </w:r>
          </w:p>
        </w:tc>
      </w:tr>
      <w:tr w:rsidR="00270800" w14:paraId="655DFF11" w14:textId="77777777">
        <w:trPr>
          <w:jc w:val="center"/>
        </w:trPr>
        <w:tc>
          <w:tcPr>
            <w:tcW w:w="3168" w:type="dxa"/>
            <w:shd w:val="clear" w:color="auto" w:fill="EDF2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94AA7" w14:textId="77777777" w:rsidR="00270800" w:rsidRDefault="00000000"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Clasificación de Seguridad: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1EC2A" w14:textId="77777777" w:rsidR="00270800" w:rsidRDefault="00000000">
            <w:pPr>
              <w:spacing w:after="0"/>
            </w:pPr>
            <w:r>
              <w:rPr>
                <w:rFonts w:ascii="Calibri" w:hAnsi="Calibri"/>
                <w:color w:val="1E293B"/>
                <w:sz w:val="18"/>
              </w:rPr>
              <w:t>Confidencial — Uso Interno Corporativo</w:t>
            </w:r>
          </w:p>
        </w:tc>
      </w:tr>
    </w:tbl>
    <w:p w14:paraId="786632C4" w14:textId="77777777" w:rsidR="00270800" w:rsidRDefault="00000000">
      <w:pPr>
        <w:keepNext/>
        <w:pBdr>
          <w:bottom w:val="single" w:sz="10" w:space="4" w:color="2B6CB0"/>
        </w:pBdr>
        <w:spacing w:before="360" w:after="120"/>
      </w:pPr>
      <w:r>
        <w:rPr>
          <w:rFonts w:ascii="Calibri" w:hAnsi="Calibri"/>
          <w:b/>
          <w:color w:val="1B365D"/>
          <w:sz w:val="28"/>
        </w:rPr>
        <w:t>Resumen Ejecutivo</w:t>
      </w:r>
    </w:p>
    <w:p w14:paraId="03B67A33" w14:textId="77777777" w:rsidR="00270800" w:rsidRPr="009D0F9E" w:rsidRDefault="00000000" w:rsidP="00855194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El presente informe establece con rigor técnico y funcional la arquitectura de integración y el modelo de sincronización entre la base de datos central de la Aplicación de Talento Humano (Aplicación TH) y la plataforma de comunicación y experiencia del empleado Humand. El objetivo medular es garantizar un intercambio de información transparente, seguro, automatizado y bajo estricto control corporativo.</w:t>
      </w:r>
    </w:p>
    <w:p w14:paraId="0A7AA6B6" w14:textId="77777777" w:rsidR="00270800" w:rsidRPr="009D0F9E" w:rsidRDefault="00000000" w:rsidP="00855194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Como respuesta directa a la interrogante gerencial sobre la naturaleza de la sincronización, se clarifica que el sistema NO está obligado a realizar siempre sincronizaciones totales masivas. Por el contrario, la arquitectura está diseñada con capacidades duales: soporta cargas globales o masivas (Batch Upsert) para inicialización o auditoría general, pero su fortaleza operativa reside en la Sincronización Parcial, Quirúrgica y Granular (Delta Sync). Esto permite transmitir únicamente campos específicos (tales como Ubicación, Estado Civil o Nivel Educativo), colaboradores seleccionados de forma individual, o catálogos organizacionales específicos, sin necesidad de reescribir ni sobrecargar la nómina completa.</w:t>
      </w:r>
    </w:p>
    <w:p w14:paraId="1E5A3FBA" w14:textId="77777777" w:rsidR="00270800" w:rsidRPr="009D0F9E" w:rsidRDefault="00000000" w:rsidP="00855194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 xml:space="preserve">Adicionalmente, se documenta la incorporación del mecanismo de exclusión y gobierno </w:t>
      </w:r>
      <w:r w:rsidRPr="00855194">
        <w:rPr>
          <w:rFonts w:ascii="Calibri" w:hAnsi="Calibri"/>
          <w:b/>
          <w:bCs/>
          <w:color w:val="1E293B"/>
          <w:sz w:val="20"/>
          <w:lang w:val="es-VE"/>
        </w:rPr>
        <w:t>estatus_h</w:t>
      </w:r>
      <w:r w:rsidRPr="009D0F9E">
        <w:rPr>
          <w:rFonts w:ascii="Calibri" w:hAnsi="Calibri"/>
          <w:color w:val="1E293B"/>
          <w:sz w:val="20"/>
          <w:lang w:val="es-VE"/>
        </w:rPr>
        <w:t>, el cual otorga autonomía absoluta a la Aplicación TH para decidir tras bastidores qué registros suben a Humand y cuáles permanecen confinados al entorno interno de nómina, sin exponer configuraciones en la nube.</w:t>
      </w:r>
    </w:p>
    <w:p w14:paraId="074B9179" w14:textId="77777777" w:rsidR="00270800" w:rsidRPr="009D0F9E" w:rsidRDefault="00000000">
      <w:pPr>
        <w:keepNext/>
        <w:pBdr>
          <w:bottom w:val="single" w:sz="10" w:space="4" w:color="2B6CB0"/>
        </w:pBdr>
        <w:spacing w:before="360" w:after="120"/>
        <w:rPr>
          <w:lang w:val="es-VE"/>
        </w:rPr>
      </w:pPr>
      <w:r w:rsidRPr="009D0F9E">
        <w:rPr>
          <w:rFonts w:ascii="Calibri" w:hAnsi="Calibri"/>
          <w:b/>
          <w:color w:val="1B365D"/>
          <w:sz w:val="28"/>
          <w:lang w:val="es-VE"/>
        </w:rPr>
        <w:t>1. Modelo de Sincronización: ¿Total o Parcial?</w:t>
      </w:r>
    </w:p>
    <w:p w14:paraId="79188CB2" w14:textId="77777777" w:rsidR="00270800" w:rsidRPr="009D0F9E" w:rsidRDefault="00000000">
      <w:pPr>
        <w:spacing w:after="120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Una de las premisas arquitectónicas más críticas en la integración de sistemas de recursos humanos es la eficiencia y el control de tráfico en las APIs. En la integración TH ↔ Humand, el usuario y los administradores cuentan con la libertad de ejecutar tanto sincronizaciones completas como actualizaciones parciales de acuerdo con la necesidad operativa:</w:t>
      </w:r>
    </w:p>
    <w:p w14:paraId="3DDA7C47" w14:textId="77777777" w:rsidR="00270800" w:rsidRPr="009D0F9E" w:rsidRDefault="00000000">
      <w:pPr>
        <w:keepNext/>
        <w:spacing w:before="260" w:after="80"/>
        <w:rPr>
          <w:lang w:val="es-VE"/>
        </w:rPr>
      </w:pPr>
      <w:r w:rsidRPr="009D0F9E">
        <w:rPr>
          <w:rFonts w:ascii="Calibri" w:hAnsi="Calibri"/>
          <w:b/>
          <w:color w:val="2B6CB0"/>
          <w:sz w:val="24"/>
          <w:lang w:val="es-VE"/>
        </w:rPr>
        <w:lastRenderedPageBreak/>
        <w:t>1.1 Sincronización Parcial y Quirúrgica (Uso Diario Recomendado)</w:t>
      </w:r>
    </w:p>
    <w:p w14:paraId="01DE9420" w14:textId="77777777" w:rsidR="00270800" w:rsidRDefault="00000000">
      <w:pPr>
        <w:spacing w:after="120"/>
      </w:pPr>
      <w:r w:rsidRPr="009D0F9E">
        <w:rPr>
          <w:rFonts w:ascii="Calibri" w:hAnsi="Calibri"/>
          <w:color w:val="1E293B"/>
          <w:sz w:val="20"/>
          <w:lang w:val="es-VE"/>
        </w:rPr>
        <w:t xml:space="preserve">La sincronización parcial permite enviar a Humand únicamente las novedades, atributos específicos o colaboradores que han sufrido alteraciones. </w:t>
      </w:r>
      <w:r>
        <w:rPr>
          <w:rFonts w:ascii="Calibri" w:hAnsi="Calibri"/>
          <w:color w:val="1E293B"/>
          <w:sz w:val="20"/>
        </w:rPr>
        <w:t>Se desglosa en tres niveles de granularidad:</w:t>
      </w:r>
    </w:p>
    <w:p w14:paraId="52E54B6B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Por Colaborador (Piloto o Individual): </w:t>
      </w:r>
      <w:r w:rsidRPr="009D0F9E">
        <w:rPr>
          <w:rFonts w:ascii="Calibri" w:hAnsi="Calibri"/>
          <w:color w:val="1E293B"/>
          <w:sz w:val="20"/>
          <w:lang w:val="es-VE"/>
        </w:rPr>
        <w:t>Permite actualizar en Humand a un colaborador específico (por ejemplo, tras su contratación, cambio de sede o corrección de datos) mediante su cédula o código de empleado, sin tocar a los otros 160+ colaboradores de la empresa.</w:t>
      </w:r>
    </w:p>
    <w:p w14:paraId="418B1FC4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Por Atributo o Campo Específico: </w:t>
      </w:r>
      <w:r w:rsidRPr="009D0F9E">
        <w:rPr>
          <w:rFonts w:ascii="Calibri" w:hAnsi="Calibri"/>
          <w:color w:val="1E293B"/>
          <w:sz w:val="20"/>
          <w:lang w:val="es-VE"/>
        </w:rPr>
        <w:t>Gracias a los endpoints REST especializados (como PATCH /users/{id} y PATCH /users/{id}/profile-fields), es posible sincronizar exclusivamente campos aislados (por ejemplo: actualizar solo la Ubicación geográfica o el Nivel Educativo recién culminado), dejando inalterados el cargo, el correo, el supervisor o el resto de los datos ya registrados.</w:t>
      </w:r>
    </w:p>
    <w:p w14:paraId="114E6F28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Por Módulo o Catálogo: </w:t>
      </w:r>
      <w:r w:rsidRPr="009D0F9E">
        <w:rPr>
          <w:rFonts w:ascii="Calibri" w:hAnsi="Calibri"/>
          <w:color w:val="1E293B"/>
          <w:sz w:val="20"/>
          <w:lang w:val="es-VE"/>
        </w:rPr>
        <w:t>Se puede disparar la sincronización independiente de Estructura Organizacional (Departamentos y Cargos) sin necesidad de tocar los perfiles de los empleados, o viceversa.</w:t>
      </w:r>
    </w:p>
    <w:p w14:paraId="090B19EA" w14:textId="77777777" w:rsidR="00270800" w:rsidRPr="009D0F9E" w:rsidRDefault="00000000">
      <w:pPr>
        <w:keepNext/>
        <w:spacing w:before="260" w:after="80"/>
        <w:rPr>
          <w:lang w:val="es-VE"/>
        </w:rPr>
      </w:pPr>
      <w:r w:rsidRPr="009D0F9E">
        <w:rPr>
          <w:rFonts w:ascii="Calibri" w:hAnsi="Calibri"/>
          <w:b/>
          <w:color w:val="2B6CB0"/>
          <w:sz w:val="24"/>
          <w:lang w:val="es-VE"/>
        </w:rPr>
        <w:t>1.2 Sincronización Total (Carga Inicial y Auditoría)</w:t>
      </w:r>
    </w:p>
    <w:p w14:paraId="09EDEB52" w14:textId="77777777" w:rsidR="00270800" w:rsidRPr="009D0F9E" w:rsidRDefault="00000000" w:rsidP="00BD43DC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La sincronización total se reserva para dos momentos clave: (a) la carga inicial masiva de puesta en marcha, donde se aprovisionan todos los colaboradores a la vez; y (b) procesos periódicos de conciliación o auditoría general (ej. cortes mensuales), donde se barre la totalidad de la nómina activa para garantizar consistencia referencial absoluta.</w:t>
      </w:r>
    </w:p>
    <w:p w14:paraId="07695CF1" w14:textId="77777777" w:rsidR="00270800" w:rsidRPr="009D0F9E" w:rsidRDefault="00000000">
      <w:pPr>
        <w:keepNext/>
        <w:spacing w:before="260" w:after="80"/>
        <w:rPr>
          <w:lang w:val="es-VE"/>
        </w:rPr>
      </w:pPr>
      <w:r w:rsidRPr="009D0F9E">
        <w:rPr>
          <w:rFonts w:ascii="Calibri" w:hAnsi="Calibri"/>
          <w:b/>
          <w:color w:val="2B6CB0"/>
          <w:sz w:val="24"/>
          <w:lang w:val="es-VE"/>
        </w:rPr>
        <w:t>1.3 Matriz Comparativa de Métodos de Sincronización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872"/>
        <w:gridCol w:w="2736"/>
        <w:gridCol w:w="2592"/>
        <w:gridCol w:w="60"/>
      </w:tblGrid>
      <w:tr w:rsidR="00270800" w14:paraId="7C085DC4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701F4D35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Modalidad</w:t>
            </w:r>
          </w:p>
        </w:tc>
        <w:tc>
          <w:tcPr>
            <w:tcW w:w="1872" w:type="dxa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7BE1EB47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Endpoint / Verbo</w:t>
            </w:r>
          </w:p>
        </w:tc>
        <w:tc>
          <w:tcPr>
            <w:tcW w:w="2736" w:type="dxa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250BFAE8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Alcance de Datos</w:t>
            </w:r>
          </w:p>
        </w:tc>
        <w:tc>
          <w:tcPr>
            <w:tcW w:w="2592" w:type="dxa"/>
            <w:gridSpan w:val="2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57A55059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Consumo de API / Cuota</w:t>
            </w:r>
          </w:p>
        </w:tc>
      </w:tr>
      <w:tr w:rsidR="00270800" w:rsidRPr="00FD25A2" w14:paraId="431D39F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21692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Sincronización Total (Upsert Masivo)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8CE4F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PUT /users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F7C6C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Sobreescribe el registro completo del usuario en Humand.</w:t>
            </w:r>
          </w:p>
        </w:tc>
        <w:tc>
          <w:tcPr>
            <w:tcW w:w="2592" w:type="dxa"/>
            <w:gridSpan w:val="2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51F44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Alto tráfico; ideal para carga masiva inicial o rectificación.</w:t>
            </w:r>
          </w:p>
        </w:tc>
      </w:tr>
      <w:tr w:rsidR="00270800" w:rsidRPr="00FD25A2" w14:paraId="33A69C1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660EC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Actualización Parcial Básica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1188C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PATCH /users/{id}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179265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Modifica solo los campos incluidos en el payload (teléfono, relaciones, etc.).</w:t>
            </w:r>
          </w:p>
        </w:tc>
        <w:tc>
          <w:tcPr>
            <w:tcW w:w="2592" w:type="dxa"/>
            <w:gridSpan w:val="2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7F6DE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Óptimo; no afecta campos no enviados ni genera sobreescritura.</w:t>
            </w:r>
          </w:p>
        </w:tc>
      </w:tr>
      <w:tr w:rsidR="00270800" w:rsidRPr="00FD25A2" w14:paraId="2B12229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FA296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Actualización de Campos de Perfil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D01BF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PATCH /users/{id}/profile-fields</w:t>
            </w:r>
          </w:p>
        </w:tc>
        <w:tc>
          <w:tcPr>
            <w:tcW w:w="273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8F180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Afecta únicamente los campos dinámicos (Estado Civil, Nivel Educativo).</w:t>
            </w:r>
          </w:p>
        </w:tc>
        <w:tc>
          <w:tcPr>
            <w:tcW w:w="2592" w:type="dxa"/>
            <w:gridSpan w:val="2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591AB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Ultra ligero; preserva exactamente el resto del perfil intacto.</w:t>
            </w:r>
          </w:p>
        </w:tc>
      </w:tr>
      <w:tr w:rsidR="00270800" w:rsidRPr="00FD25A2" w14:paraId="0A18CFF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6C48A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Asignación de Estructura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EC45C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PUT /departments/user</w:t>
            </w:r>
            <w:r>
              <w:rPr>
                <w:rFonts w:ascii="Calibri" w:hAnsi="Calibri"/>
                <w:color w:val="1E293B"/>
                <w:sz w:val="18"/>
              </w:rPr>
              <w:br/>
              <w:t>PUT /job-positions/user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7002B8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Enlaza al empleado con su departamento o puesto correspondiente.</w:t>
            </w:r>
          </w:p>
        </w:tc>
        <w:tc>
          <w:tcPr>
            <w:tcW w:w="2592" w:type="dxa"/>
            <w:gridSpan w:val="2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52C15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Mínimo; asegura que los organigramas reflejen la verdad de TH.</w:t>
            </w:r>
          </w:p>
        </w:tc>
      </w:tr>
      <w:tr w:rsidR="00270800" w:rsidRPr="00FD25A2" w14:paraId="768F1B52" w14:textId="77777777">
        <w:tblPrEx>
          <w:tblBorders>
            <w:left w:val="single" w:sz="24" w:space="0" w:color="2F855A"/>
          </w:tblBorders>
        </w:tblPrEx>
        <w:trPr>
          <w:gridAfter w:val="1"/>
          <w:wAfter w:w="60" w:type="dxa"/>
          <w:jc w:val="center"/>
        </w:trPr>
        <w:tc>
          <w:tcPr>
            <w:tcW w:w="9360" w:type="dxa"/>
            <w:gridSpan w:val="4"/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EDE767" w14:textId="77777777" w:rsidR="00270800" w:rsidRPr="009D0F9E" w:rsidRDefault="00000000">
            <w:pPr>
              <w:spacing w:after="60"/>
              <w:rPr>
                <w:lang w:val="es-VE"/>
              </w:rPr>
            </w:pPr>
            <w:r w:rsidRPr="009D0F9E">
              <w:rPr>
                <w:rFonts w:ascii="Calibri" w:hAnsi="Calibri"/>
                <w:b/>
                <w:color w:val="1B365D"/>
                <w:sz w:val="21"/>
                <w:lang w:val="es-VE"/>
              </w:rPr>
              <w:t>Conclusión Operativa:</w:t>
            </w:r>
          </w:p>
          <w:p w14:paraId="65D34F1E" w14:textId="77777777" w:rsidR="00270800" w:rsidRPr="009D0F9E" w:rsidRDefault="00000000" w:rsidP="00FD25A2">
            <w:pPr>
              <w:spacing w:after="0"/>
              <w:jc w:val="both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9"/>
                <w:lang w:val="es-VE"/>
              </w:rPr>
              <w:t>NO es obligatorio hacer sincronizaciones totales. El sistema está 100% habilitado para sincronizaciones parciales, delta y por atributo. Esto evita el agotamiento de la tasa de peticiones (Rate Limit de 50 req/min) y minimiza cualquier riesgo de sobreescritura no deseada en Humand.</w:t>
            </w:r>
          </w:p>
        </w:tc>
      </w:tr>
    </w:tbl>
    <w:p w14:paraId="6B18086E" w14:textId="77777777" w:rsidR="00270800" w:rsidRPr="009D0F9E" w:rsidRDefault="00270800">
      <w:pPr>
        <w:spacing w:after="120"/>
        <w:rPr>
          <w:lang w:val="es-VE"/>
        </w:rPr>
      </w:pPr>
    </w:p>
    <w:p w14:paraId="140856AE" w14:textId="77777777" w:rsidR="00270800" w:rsidRPr="009D0F9E" w:rsidRDefault="00000000">
      <w:pPr>
        <w:keepNext/>
        <w:pBdr>
          <w:bottom w:val="single" w:sz="10" w:space="4" w:color="2B6CB0"/>
        </w:pBdr>
        <w:spacing w:before="360" w:after="120"/>
        <w:rPr>
          <w:lang w:val="es-VE"/>
        </w:rPr>
      </w:pPr>
      <w:r w:rsidRPr="009D0F9E">
        <w:rPr>
          <w:rFonts w:ascii="Calibri" w:hAnsi="Calibri"/>
          <w:b/>
          <w:color w:val="1B365D"/>
          <w:sz w:val="28"/>
          <w:lang w:val="es-VE"/>
        </w:rPr>
        <w:lastRenderedPageBreak/>
        <w:t>2. Características de la Integración</w:t>
      </w:r>
    </w:p>
    <w:p w14:paraId="1EF20849" w14:textId="77777777" w:rsidR="00270800" w:rsidRPr="009D0F9E" w:rsidRDefault="00000000">
      <w:pPr>
        <w:spacing w:after="120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La integración entre Aplicación TH y Humand Public API v1 se fundamenta en los siguientes pilares de arquitectura de software y gestión empresarial:</w:t>
      </w:r>
    </w:p>
    <w:p w14:paraId="46349F67" w14:textId="5C841C73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1. Unidireccionalidad de Autoridad (SSOT): </w:t>
      </w:r>
      <w:r w:rsidRPr="009D0F9E">
        <w:rPr>
          <w:rFonts w:ascii="Calibri" w:hAnsi="Calibri"/>
          <w:color w:val="1E293B"/>
          <w:sz w:val="20"/>
          <w:lang w:val="es-VE"/>
        </w:rPr>
        <w:t>La Aplicación TH (base PostgreSQL) actúa como la única fuente autoritativa de datos. Humand es un sistema satélite de experiencia, comunicación y autoservicio. Ningún dato manual creado en Humand sobrescribe la base central de TH.</w:t>
      </w:r>
    </w:p>
    <w:p w14:paraId="6BD405D0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2. Protocolo Seguro y Autenticación: </w:t>
      </w:r>
      <w:r w:rsidRPr="009D0F9E">
        <w:rPr>
          <w:rFonts w:ascii="Calibri" w:hAnsi="Calibri"/>
          <w:color w:val="1E293B"/>
          <w:sz w:val="20"/>
          <w:lang w:val="es-VE"/>
        </w:rPr>
        <w:t>La comunicación se realiza mediante HTTPS REST API contra https://api-prod.humand.co/public/api/v1 utilizando autenticación estricta en cabecera 'Authorization: Basic {HUMAND_API_KEY}'.</w:t>
      </w:r>
    </w:p>
    <w:p w14:paraId="3FEFDCC5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3. Identificador Único Universal: </w:t>
      </w:r>
      <w:r w:rsidRPr="009D0F9E">
        <w:rPr>
          <w:rFonts w:ascii="Calibri" w:hAnsi="Calibri"/>
          <w:color w:val="1E293B"/>
          <w:sz w:val="20"/>
          <w:lang w:val="es-VE"/>
        </w:rPr>
        <w:t>La cédula de identidad del colaborador (sanitizada sin prefijos V/E ni guiones, ej. '20802831') actúa como el employeeInternalId en Humand. Esta es la llave unívoca e inmutable que indexa todas las operaciones.</w:t>
      </w:r>
    </w:p>
    <w:p w14:paraId="6FF55418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4. Soporte Multidimensional de Datos: </w:t>
      </w:r>
      <w:r w:rsidRPr="009D0F9E">
        <w:rPr>
          <w:rFonts w:ascii="Calibri" w:hAnsi="Calibri"/>
          <w:color w:val="1E293B"/>
          <w:sz w:val="20"/>
          <w:lang w:val="es-VE"/>
        </w:rPr>
        <w:t>Humand organiza los perfiles mediante tres capas complementarias: (a) Atributos nativos del core (nombre, correo, teléfono, fecha de contratación); (b) Segmentaciones grupales jerárquicas (Ubicación, Contrato, Dirección, etc.); y (c) Profile Fields dinámicos asignados por UUIDs globales.</w:t>
      </w:r>
    </w:p>
    <w:p w14:paraId="31A81774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5. Organigrama Dinámico Automatizado: </w:t>
      </w:r>
      <w:r w:rsidRPr="009D0F9E">
        <w:rPr>
          <w:rFonts w:ascii="Calibri" w:hAnsi="Calibri"/>
          <w:color w:val="1E293B"/>
          <w:sz w:val="20"/>
          <w:lang w:val="es-VE"/>
        </w:rPr>
        <w:t>Al sincronizar la línea de mando (di_supervisor y di_evaluador), Humand construye el organigrama empresarial de manera automática mediante la asignación de relaciones BOSS y REVIEWER, generando la subordinación bidireccional correspondiente.</w:t>
      </w:r>
    </w:p>
    <w:p w14:paraId="18988500" w14:textId="77777777" w:rsidR="00270800" w:rsidRPr="009D0F9E" w:rsidRDefault="00000000">
      <w:pPr>
        <w:keepNext/>
        <w:pBdr>
          <w:bottom w:val="single" w:sz="10" w:space="4" w:color="2B6CB0"/>
        </w:pBdr>
        <w:spacing w:before="360" w:after="120"/>
        <w:rPr>
          <w:lang w:val="es-VE"/>
        </w:rPr>
      </w:pPr>
      <w:r w:rsidRPr="009D0F9E">
        <w:rPr>
          <w:rFonts w:ascii="Calibri" w:hAnsi="Calibri"/>
          <w:b/>
          <w:color w:val="1B365D"/>
          <w:sz w:val="28"/>
          <w:lang w:val="es-VE"/>
        </w:rPr>
        <w:t>3. Premisas Fundamentales de Funcionamiento</w:t>
      </w:r>
    </w:p>
    <w:p w14:paraId="2E330BE5" w14:textId="458CE855" w:rsidR="00270800" w:rsidRPr="009D0F9E" w:rsidRDefault="00000000">
      <w:pPr>
        <w:spacing w:after="120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 xml:space="preserve">Para garantizar la integridad y estabilidad de la </w:t>
      </w:r>
      <w:r w:rsidR="00DB2278">
        <w:rPr>
          <w:rFonts w:ascii="Calibri" w:hAnsi="Calibri"/>
          <w:color w:val="1E293B"/>
          <w:sz w:val="20"/>
          <w:lang w:val="es-VE"/>
        </w:rPr>
        <w:t>estructura organizativa</w:t>
      </w:r>
      <w:r w:rsidRPr="009D0F9E">
        <w:rPr>
          <w:rFonts w:ascii="Calibri" w:hAnsi="Calibri"/>
          <w:color w:val="1E293B"/>
          <w:sz w:val="20"/>
          <w:lang w:val="es-VE"/>
        </w:rPr>
        <w:t xml:space="preserve"> y de la plataforma social corporativa, la integración opera bajo reglas inviolables:</w:t>
      </w:r>
    </w:p>
    <w:p w14:paraId="775C2130" w14:textId="77777777" w:rsidR="00270800" w:rsidRPr="009D0F9E" w:rsidRDefault="00000000">
      <w:pPr>
        <w:keepNext/>
        <w:spacing w:before="260" w:after="80"/>
        <w:rPr>
          <w:lang w:val="es-VE"/>
        </w:rPr>
      </w:pPr>
      <w:r w:rsidRPr="009D0F9E">
        <w:rPr>
          <w:rFonts w:ascii="Calibri" w:hAnsi="Calibri"/>
          <w:b/>
          <w:color w:val="2B6CB0"/>
          <w:sz w:val="24"/>
          <w:lang w:val="es-VE"/>
        </w:rPr>
        <w:t>3.1 Gobierno Interno con el Campo estatus_h (Regla de Exclusión)</w:t>
      </w:r>
    </w:p>
    <w:p w14:paraId="247215D7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Por solicitud de la Gerencia, se ha desacoplado la condición de sincronización respecto al estado laboral convencional (ACTIVO/INACTIVO). Se implementó el campo estatus_h en las tablas maestras de Empleados, Departamentos y Cargos bajo las siguientes premisas:</w:t>
      </w:r>
    </w:p>
    <w:p w14:paraId="47BCA60F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estatus_h = 1 (Habilitado Humand): </w:t>
      </w:r>
      <w:r w:rsidRPr="009D0F9E">
        <w:rPr>
          <w:rFonts w:ascii="Calibri" w:hAnsi="Calibri"/>
          <w:color w:val="1E293B"/>
          <w:sz w:val="20"/>
          <w:lang w:val="es-VE"/>
        </w:rPr>
        <w:t>El registro está validado y autorizado para transmitirse hacia Humand durante cualquier proceso de sincronización.</w:t>
      </w:r>
    </w:p>
    <w:p w14:paraId="2B3B55D5" w14:textId="77777777" w:rsidR="00270800" w:rsidRDefault="00000000" w:rsidP="00FD25A2">
      <w:pPr>
        <w:pStyle w:val="Listaconvietas"/>
        <w:spacing w:after="60"/>
        <w:jc w:val="both"/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estatus_h = 0 (Solo TH / Excluido): </w:t>
      </w:r>
      <w:r w:rsidRPr="009D0F9E">
        <w:rPr>
          <w:rFonts w:ascii="Calibri" w:hAnsi="Calibri"/>
          <w:color w:val="1E293B"/>
          <w:sz w:val="20"/>
          <w:lang w:val="es-VE"/>
        </w:rPr>
        <w:t xml:space="preserve">El registro pertenece única y exclusivamente a la Aplicación TH (nóminas confidenciales, personal externo, directores no vinculados o registros en borrador). </w:t>
      </w:r>
      <w:r>
        <w:rPr>
          <w:rFonts w:ascii="Calibri" w:hAnsi="Calibri"/>
          <w:color w:val="1E293B"/>
          <w:sz w:val="20"/>
        </w:rPr>
        <w:t>NUNCA viajará ni existirá en Humand.</w:t>
      </w:r>
    </w:p>
    <w:p w14:paraId="1E5891B1" w14:textId="77777777" w:rsidR="00270800" w:rsidRDefault="00000000" w:rsidP="00FD25A2">
      <w:pPr>
        <w:pStyle w:val="Listaconvietas"/>
        <w:spacing w:after="60"/>
        <w:jc w:val="both"/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Invisibilidad Absoluta en Humand: </w:t>
      </w:r>
      <w:r w:rsidRPr="009D0F9E">
        <w:rPr>
          <w:rFonts w:ascii="Calibri" w:hAnsi="Calibri"/>
          <w:color w:val="1E293B"/>
          <w:sz w:val="20"/>
          <w:lang w:val="es-VE"/>
        </w:rPr>
        <w:t xml:space="preserve">El campo estatus_h NO existe en Humand, no se crea como profile field, ni se muestra a los usuarios en la aplicación móvil ni web. </w:t>
      </w:r>
      <w:r>
        <w:rPr>
          <w:rFonts w:ascii="Calibri" w:hAnsi="Calibri"/>
          <w:color w:val="1E293B"/>
          <w:sz w:val="20"/>
        </w:rPr>
        <w:t>Funciona estrictamente tras bastidores como una compuerta lógica interna.</w:t>
      </w:r>
    </w:p>
    <w:tbl>
      <w:tblPr>
        <w:tblW w:w="0" w:type="auto"/>
        <w:jc w:val="center"/>
        <w:tblBorders>
          <w:left w:val="single" w:sz="24" w:space="0" w:color="1B365D"/>
        </w:tblBorders>
        <w:tblLook w:val="04A0" w:firstRow="1" w:lastRow="0" w:firstColumn="1" w:lastColumn="0" w:noHBand="0" w:noVBand="1"/>
      </w:tblPr>
      <w:tblGrid>
        <w:gridCol w:w="9360"/>
      </w:tblGrid>
      <w:tr w:rsidR="00270800" w:rsidRPr="00FD25A2" w14:paraId="483E6323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D9E773" w14:textId="77777777" w:rsidR="00270800" w:rsidRPr="009D0F9E" w:rsidRDefault="00000000">
            <w:pPr>
              <w:spacing w:after="60"/>
              <w:rPr>
                <w:lang w:val="es-VE"/>
              </w:rPr>
            </w:pPr>
            <w:r w:rsidRPr="009D0F9E">
              <w:rPr>
                <w:rFonts w:ascii="Calibri" w:hAnsi="Calibri"/>
                <w:b/>
                <w:color w:val="1B365D"/>
                <w:sz w:val="21"/>
                <w:lang w:val="es-VE"/>
              </w:rPr>
              <w:t>Auditoría Actual de la Nómina (Octubre 2026):</w:t>
            </w:r>
          </w:p>
          <w:p w14:paraId="309110CD" w14:textId="77777777" w:rsidR="00270800" w:rsidRPr="009D0F9E" w:rsidRDefault="00000000">
            <w:pPr>
              <w:spacing w:after="0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9"/>
                <w:lang w:val="es-VE"/>
              </w:rPr>
              <w:t>Total Empleados en TH: 176 colaboradores.</w:t>
            </w:r>
            <w:r w:rsidRPr="009D0F9E">
              <w:rPr>
                <w:rFonts w:ascii="Calibri" w:hAnsi="Calibri"/>
                <w:color w:val="1E293B"/>
                <w:sz w:val="19"/>
                <w:lang w:val="es-VE"/>
              </w:rPr>
              <w:br/>
              <w:t>• Colaboradores habilitados para Humand (estatus_h = 1): 161 personas (100% coincidentes con Humand).</w:t>
            </w:r>
            <w:r w:rsidRPr="009D0F9E">
              <w:rPr>
                <w:rFonts w:ascii="Calibri" w:hAnsi="Calibri"/>
                <w:color w:val="1E293B"/>
                <w:sz w:val="19"/>
                <w:lang w:val="es-VE"/>
              </w:rPr>
              <w:br/>
              <w:t>• Colaboradores exclusivos de TH (estatus_h = 0): 15 personas (completamente blindados, excluidos de Humand).</w:t>
            </w:r>
          </w:p>
        </w:tc>
      </w:tr>
    </w:tbl>
    <w:p w14:paraId="1C6E0750" w14:textId="77777777" w:rsidR="00270800" w:rsidRPr="009D0F9E" w:rsidRDefault="00270800">
      <w:pPr>
        <w:spacing w:after="120"/>
        <w:rPr>
          <w:lang w:val="es-VE"/>
        </w:rPr>
      </w:pPr>
    </w:p>
    <w:p w14:paraId="441B5A7C" w14:textId="77777777" w:rsidR="00270800" w:rsidRPr="009D0F9E" w:rsidRDefault="00000000">
      <w:pPr>
        <w:keepNext/>
        <w:spacing w:before="260" w:after="80"/>
        <w:rPr>
          <w:lang w:val="es-VE"/>
        </w:rPr>
      </w:pPr>
      <w:r w:rsidRPr="009D0F9E">
        <w:rPr>
          <w:rFonts w:ascii="Calibri" w:hAnsi="Calibri"/>
          <w:b/>
          <w:color w:val="2B6CB0"/>
          <w:sz w:val="24"/>
          <w:lang w:val="es-VE"/>
        </w:rPr>
        <w:lastRenderedPageBreak/>
        <w:t>3.2 Política Antispam en Correo Electrónico</w:t>
      </w:r>
    </w:p>
    <w:p w14:paraId="686B1964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La creación de usuarios en Humand mediante el endpoint POST /users dispara automáticamente un correo electrónico de invitación al empleado si posee dirección de correo. Para evitar saturar a los colaboradores o enviar correos en fases de prueba, la integración utiliza PUT /users o PATCH /users/{id}. Bajo estos métodos, los usuarios se aprovisionan en estado 'UNCLAIMED' (no reclamado) o 'ACTIVE' de forma silenciosa, permitiendo que la Gerencia de Talento Humano decida el momento exacto para lanzar formalmente la invitación corporativa.</w:t>
      </w:r>
    </w:p>
    <w:p w14:paraId="6FBA0311" w14:textId="77777777" w:rsidR="00270800" w:rsidRPr="009D0F9E" w:rsidRDefault="00000000">
      <w:pPr>
        <w:keepNext/>
        <w:spacing w:before="260" w:after="80"/>
        <w:rPr>
          <w:lang w:val="es-VE"/>
        </w:rPr>
      </w:pPr>
      <w:r w:rsidRPr="009D0F9E">
        <w:rPr>
          <w:rFonts w:ascii="Calibri" w:hAnsi="Calibri"/>
          <w:b/>
          <w:color w:val="2B6CB0"/>
          <w:sz w:val="24"/>
          <w:lang w:val="es-VE"/>
        </w:rPr>
        <w:t>3.3 Protección Incondicional de Cuentas Técnicas</w:t>
      </w:r>
    </w:p>
    <w:p w14:paraId="4E14990A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Los motores de conciliación y sincronización tienen programada una lista blanca (Whitelisting) inalterable. Bajo ninguna circunstancia se modifican, desactivan ni eliminan las cuentas técnicas y de administración de la plataforma:</w:t>
      </w:r>
    </w:p>
    <w:p w14:paraId="073FE3D6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carolina.ellena@humand.co: </w:t>
      </w:r>
      <w:r w:rsidRPr="009D0F9E">
        <w:rPr>
          <w:rFonts w:ascii="Calibri" w:hAnsi="Calibri"/>
          <w:color w:val="1E293B"/>
          <w:sz w:val="20"/>
          <w:lang w:val="es-VE"/>
        </w:rPr>
        <w:t>Cuenta de acompañamiento técnico y consultoría de implementación de Humand.</w:t>
      </w:r>
    </w:p>
    <w:p w14:paraId="39143BFE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integracionespb: </w:t>
      </w:r>
      <w:r w:rsidRPr="009D0F9E">
        <w:rPr>
          <w:rFonts w:ascii="Calibri" w:hAnsi="Calibri"/>
          <w:color w:val="1E293B"/>
          <w:sz w:val="20"/>
          <w:lang w:val="es-VE"/>
        </w:rPr>
        <w:t>Usuario del sistema y servicio asociado a la API Key con permisos de lectura/escritura.</w:t>
      </w:r>
    </w:p>
    <w:p w14:paraId="584E6267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comunicacionespb: </w:t>
      </w:r>
      <w:r w:rsidRPr="009D0F9E">
        <w:rPr>
          <w:rFonts w:ascii="Calibri" w:hAnsi="Calibri"/>
          <w:color w:val="1E293B"/>
          <w:sz w:val="20"/>
          <w:lang w:val="es-VE"/>
        </w:rPr>
        <w:t>Cuenta oficial para la publicación de noticias, reconocimientos y banners institucionales.</w:t>
      </w:r>
    </w:p>
    <w:p w14:paraId="5221EF2B" w14:textId="77777777" w:rsidR="00270800" w:rsidRPr="009D0F9E" w:rsidRDefault="00000000">
      <w:pPr>
        <w:keepNext/>
        <w:spacing w:before="260" w:after="80"/>
        <w:rPr>
          <w:lang w:val="es-VE"/>
        </w:rPr>
      </w:pPr>
      <w:r w:rsidRPr="009D0F9E">
        <w:rPr>
          <w:rFonts w:ascii="Calibri" w:hAnsi="Calibri"/>
          <w:b/>
          <w:color w:val="2B6CB0"/>
          <w:sz w:val="24"/>
          <w:lang w:val="es-VE"/>
        </w:rPr>
        <w:t>3.4 Resiliencia ante Rate Limits de la API</w:t>
      </w:r>
    </w:p>
    <w:p w14:paraId="7AE13815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Humand impone un límite de seguridad de 50 peticiones por minuto (RateLimit-Policy: 50;w=60). Si este límite se sobrepasa, la API responde con HTTP 429 Too Many Requests. El motor de sincronización de la Aplicación TH incorpora automáticamente lógica de reintentos con Backoff Exponencial y lectura de la cabecera 'Retry-After', garantizando que ninguna transacción se pierda y que el proceso se reanude sin fallos humanos.</w:t>
      </w:r>
    </w:p>
    <w:p w14:paraId="2D317A50" w14:textId="77777777" w:rsidR="00270800" w:rsidRPr="009D0F9E" w:rsidRDefault="00000000">
      <w:pPr>
        <w:keepNext/>
        <w:pBdr>
          <w:bottom w:val="single" w:sz="10" w:space="4" w:color="2B6CB0"/>
        </w:pBdr>
        <w:spacing w:before="360" w:after="120"/>
        <w:rPr>
          <w:lang w:val="es-VE"/>
        </w:rPr>
      </w:pPr>
      <w:r w:rsidRPr="009D0F9E">
        <w:rPr>
          <w:rFonts w:ascii="Calibri" w:hAnsi="Calibri"/>
          <w:b/>
          <w:color w:val="1B365D"/>
          <w:sz w:val="28"/>
          <w:lang w:val="es-VE"/>
        </w:rPr>
        <w:t>4. Catálogo y Mapeo de Nuevos Campos Extendidos</w:t>
      </w:r>
    </w:p>
    <w:p w14:paraId="5E2E0C21" w14:textId="77777777" w:rsidR="00270800" w:rsidRPr="009D0F9E" w:rsidRDefault="00000000">
      <w:pPr>
        <w:spacing w:after="120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Para dar cumplimiento integral a los requerimientos de la Gerencia, se implementaron en la base de datos de TH y se sincronizaron con Humand los campos Ubicación, Estado Civil y Nivel Educativo, mapeados según los estándares exactos de la API: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160"/>
        <w:gridCol w:w="2592"/>
        <w:gridCol w:w="2592"/>
      </w:tblGrid>
      <w:tr w:rsidR="00270800" w14:paraId="4EBF1AC9" w14:textId="77777777">
        <w:trPr>
          <w:jc w:val="center"/>
        </w:trPr>
        <w:tc>
          <w:tcPr>
            <w:tcW w:w="2016" w:type="dxa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27942941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Campo en TH</w:t>
            </w:r>
          </w:p>
        </w:tc>
        <w:tc>
          <w:tcPr>
            <w:tcW w:w="2160" w:type="dxa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79FF5F3A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Destino en Humand</w:t>
            </w:r>
          </w:p>
        </w:tc>
        <w:tc>
          <w:tcPr>
            <w:tcW w:w="2592" w:type="dxa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54F53240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Identificador Técnico Humand</w:t>
            </w:r>
          </w:p>
        </w:tc>
        <w:tc>
          <w:tcPr>
            <w:tcW w:w="2592" w:type="dxa"/>
            <w:shd w:val="clear" w:color="auto" w:fill="1B365D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5D959698" w14:textId="77777777" w:rsidR="00270800" w:rsidRDefault="00000000">
            <w:r>
              <w:rPr>
                <w:rFonts w:ascii="Calibri" w:hAnsi="Calibri"/>
                <w:b/>
                <w:color w:val="FFFFFF"/>
                <w:sz w:val="19"/>
              </w:rPr>
              <w:t>Valores Homologados</w:t>
            </w:r>
          </w:p>
        </w:tc>
      </w:tr>
      <w:tr w:rsidR="00270800" w:rsidRPr="00FD25A2" w14:paraId="6B87D43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37B7F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Ubicación</w:t>
            </w:r>
            <w:r>
              <w:rPr>
                <w:rFonts w:ascii="Calibri" w:hAnsi="Calibri"/>
                <w:color w:val="1E293B"/>
                <w:sz w:val="18"/>
              </w:rPr>
              <w:br/>
              <w:t>(ubicacion)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56EE3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Segmentación Grupal</w:t>
            </w:r>
            <w:r>
              <w:rPr>
                <w:rFonts w:ascii="Calibri" w:hAnsi="Calibri"/>
                <w:color w:val="1E293B"/>
                <w:sz w:val="18"/>
              </w:rPr>
              <w:br/>
              <w:t>('Ubicación')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8BB356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Group ID: 451900</w:t>
            </w:r>
            <w:r>
              <w:rPr>
                <w:rFonts w:ascii="Calibri" w:hAnsi="Calibri"/>
                <w:color w:val="1E293B"/>
                <w:sz w:val="18"/>
              </w:rPr>
              <w:br/>
              <w:t>(Segmentations)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BBEEA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Caracas, Yagua, Barquisimeto, Maracaibo, Valencia, Puerto Ordaz, San Cristóbal</w:t>
            </w:r>
          </w:p>
        </w:tc>
      </w:tr>
      <w:tr w:rsidR="00270800" w:rsidRPr="00FD25A2" w14:paraId="02FB8AA5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577E8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Estado Civil</w:t>
            </w:r>
            <w:r>
              <w:rPr>
                <w:rFonts w:ascii="Calibri" w:hAnsi="Calibri"/>
                <w:color w:val="1E293B"/>
                <w:sz w:val="18"/>
              </w:rPr>
              <w:br/>
              <w:t>(edo_civil)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5DA06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Profile Field</w:t>
            </w:r>
            <w:r>
              <w:rPr>
                <w:rFonts w:ascii="Calibri" w:hAnsi="Calibri"/>
                <w:color w:val="1E293B"/>
                <w:sz w:val="18"/>
              </w:rPr>
              <w:br/>
              <w:t>(Confidencial)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9CA61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UUID:</w:t>
            </w: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br/>
              <w:t>52005932-0bdb-438d-834c-82d8e3330e26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5DFE8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Soltero, Casado, Divorciado, Viudo, Concubinato</w:t>
            </w:r>
          </w:p>
        </w:tc>
      </w:tr>
      <w:tr w:rsidR="00270800" w:rsidRPr="00FD25A2" w14:paraId="2586A9F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29ABC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Nivel Educativo</w:t>
            </w:r>
            <w:r>
              <w:rPr>
                <w:rFonts w:ascii="Calibri" w:hAnsi="Calibri"/>
                <w:color w:val="1E293B"/>
                <w:sz w:val="18"/>
              </w:rPr>
              <w:br/>
              <w:t>(nivel_educativo)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6DA05" w14:textId="77777777" w:rsidR="00270800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Profile Field</w:t>
            </w:r>
            <w:r>
              <w:rPr>
                <w:rFonts w:ascii="Calibri" w:hAnsi="Calibri"/>
                <w:color w:val="1E293B"/>
                <w:sz w:val="18"/>
              </w:rPr>
              <w:br/>
              <w:t>(Visible/Público)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6B35E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UUID:</w:t>
            </w: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br/>
              <w:t>a0b1e6b5-4bc7-444b-a27c-2844dd5a9532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C0B9F" w14:textId="77777777" w:rsidR="00270800" w:rsidRPr="009D0F9E" w:rsidRDefault="00000000">
            <w:pPr>
              <w:spacing w:after="0" w:line="264" w:lineRule="auto"/>
              <w:rPr>
                <w:lang w:val="es-VE"/>
              </w:rPr>
            </w:pPr>
            <w:r w:rsidRPr="009D0F9E">
              <w:rPr>
                <w:rFonts w:ascii="Calibri" w:hAnsi="Calibri"/>
                <w:color w:val="1E293B"/>
                <w:sz w:val="18"/>
                <w:lang w:val="es-VE"/>
              </w:rPr>
              <w:t>Bachiller, Técnico Medio, Técnico Superior, Universitario, Posgrado</w:t>
            </w:r>
          </w:p>
        </w:tc>
      </w:tr>
    </w:tbl>
    <w:p w14:paraId="3A33C625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 xml:space="preserve">Nota Técnica de Homologación: En la Aplicación TH, los selectores de la interfaz gráfica y los esquemas de validación de base de datos fueron restringidos para que coincidan al 100% con los valores esperados por Humand. </w:t>
      </w:r>
      <w:r w:rsidRPr="009D0F9E">
        <w:rPr>
          <w:rFonts w:ascii="Calibri" w:hAnsi="Calibri"/>
          <w:color w:val="1E293B"/>
          <w:sz w:val="20"/>
          <w:lang w:val="es-VE"/>
        </w:rPr>
        <w:lastRenderedPageBreak/>
        <w:t>De este modo, se elimina por diseño cualquier posibilidad de error por inconsistencia tipográfica o valores inválidos.</w:t>
      </w:r>
    </w:p>
    <w:p w14:paraId="6F45499D" w14:textId="77777777" w:rsidR="00270800" w:rsidRPr="009D0F9E" w:rsidRDefault="00000000">
      <w:pPr>
        <w:keepNext/>
        <w:pBdr>
          <w:bottom w:val="single" w:sz="10" w:space="4" w:color="2B6CB0"/>
        </w:pBdr>
        <w:spacing w:before="360" w:after="120"/>
        <w:rPr>
          <w:lang w:val="es-VE"/>
        </w:rPr>
      </w:pPr>
      <w:r w:rsidRPr="009D0F9E">
        <w:rPr>
          <w:rFonts w:ascii="Calibri" w:hAnsi="Calibri"/>
          <w:b/>
          <w:color w:val="1B365D"/>
          <w:sz w:val="28"/>
          <w:lang w:val="es-VE"/>
        </w:rPr>
        <w:t>5. Ciclo de Vida del Colaborador en la Integración</w:t>
      </w:r>
    </w:p>
    <w:p w14:paraId="5025F383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La integración acompaña todas las etapas de la relación laboral del colaborador, actuando según el evento que ocurra en la Aplicación TH:</w:t>
      </w:r>
    </w:p>
    <w:p w14:paraId="5AFBBC95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A. Alta o Contratación: </w:t>
      </w:r>
      <w:r w:rsidRPr="009D0F9E">
        <w:rPr>
          <w:rFonts w:ascii="Calibri" w:hAnsi="Calibri"/>
          <w:color w:val="1E293B"/>
          <w:sz w:val="20"/>
          <w:lang w:val="es-VE"/>
        </w:rPr>
        <w:t>Al registrar un nuevo empleado en TH con estatus_h = 1, el motor lo inserta en Humand vía PUT /users sin disparar correos automáticos. Inmediatamente se le asocia su Ubicación geográfica, su Estado Civil, Nivel Educativo, su Departamento y Puesto de Trabajo.</w:t>
      </w:r>
    </w:p>
    <w:p w14:paraId="067E91B9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B. Modificación o Movimiento Interno: </w:t>
      </w:r>
      <w:r w:rsidRPr="009D0F9E">
        <w:rPr>
          <w:rFonts w:ascii="Calibri" w:hAnsi="Calibri"/>
          <w:color w:val="1E293B"/>
          <w:sz w:val="20"/>
          <w:lang w:val="es-VE"/>
        </w:rPr>
        <w:t>Cuando se edita un campo (ej. ascenso de cargo, cambio de gerencia o nueva sede), el sistema ejecuta una llamada PATCH puntual. Solo viaja el dato modificado, manteniendo intacto el expediente histórico.</w:t>
      </w:r>
    </w:p>
    <w:p w14:paraId="40A927C5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C. Baja o Desvinculación Formal (Offboarding): </w:t>
      </w:r>
      <w:r w:rsidRPr="009D0F9E">
        <w:rPr>
          <w:rFonts w:ascii="Calibri" w:hAnsi="Calibri"/>
          <w:color w:val="1E293B"/>
          <w:sz w:val="20"/>
          <w:lang w:val="es-VE"/>
        </w:rPr>
        <w:t>Si un colaborador finaliza su relación laboral y se marca INACTIVO en TH, la integración ejecuta el endpoint POST /users/{id}/deactivate especificando el motivo (Renuncia, Fin de Contrato, Jubilación). Fundamentalmente, permite transferir la jefatura de los subordinados a un nuevo líder mediante el parámetro newBossId, evitando que los equipos queden sin supervisor en el organigrama.</w:t>
      </w:r>
    </w:p>
    <w:p w14:paraId="346787EF" w14:textId="77777777" w:rsidR="00270800" w:rsidRPr="009D0F9E" w:rsidRDefault="00000000">
      <w:pPr>
        <w:keepNext/>
        <w:pBdr>
          <w:bottom w:val="single" w:sz="10" w:space="4" w:color="2B6CB0"/>
        </w:pBdr>
        <w:spacing w:before="360" w:after="120"/>
        <w:rPr>
          <w:lang w:val="es-VE"/>
        </w:rPr>
      </w:pPr>
      <w:r w:rsidRPr="009D0F9E">
        <w:rPr>
          <w:rFonts w:ascii="Calibri" w:hAnsi="Calibri"/>
          <w:b/>
          <w:color w:val="1B365D"/>
          <w:sz w:val="28"/>
          <w:lang w:val="es-VE"/>
        </w:rPr>
        <w:t>6. Conclusiones y Próximos Pasos Estratégicos</w:t>
      </w:r>
    </w:p>
    <w:p w14:paraId="02D6ADBA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1. Flexibilidad Operativa Garantizada: La Dirección de Talento Humano no está atada a procesos lentos ni pesados de actualización masiva. Puede operar en tiempo real mediante sincronizaciones parciales o programar sincronizaciones totales automatizadas según lo estime conveniente.</w:t>
      </w:r>
    </w:p>
    <w:p w14:paraId="00D35A24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2. Autonomía y Seguridad en estatus_h: Se ha cerrado con total éxito el blindaje de la nómina. La empresa tiene el control absoluto para decidir quién sube a Humand y quién permanece confidencialmente en la Aplicación TH, sin interferencias de usuarios externos.</w:t>
      </w:r>
    </w:p>
    <w:p w14:paraId="4735D8F1" w14:textId="77777777" w:rsidR="00270800" w:rsidRPr="009D0F9E" w:rsidRDefault="00000000" w:rsidP="00FD25A2">
      <w:pPr>
        <w:spacing w:after="120"/>
        <w:jc w:val="both"/>
        <w:rPr>
          <w:lang w:val="es-VE"/>
        </w:rPr>
      </w:pPr>
      <w:r w:rsidRPr="009D0F9E">
        <w:rPr>
          <w:rFonts w:ascii="Calibri" w:hAnsi="Calibri"/>
          <w:color w:val="1E293B"/>
          <w:sz w:val="20"/>
          <w:lang w:val="es-VE"/>
        </w:rPr>
        <w:t>3. Plataforma Lista para Fases Siguientes: Al tener los catálogos, puestos, departamentos, segmentaciones de ubicación y datos extendidos 100% alineados, el ecosistema queda completamente preparado para conectar los módulos avanzados de Humand:</w:t>
      </w:r>
    </w:p>
    <w:p w14:paraId="77D0796C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• Módulo Time-Off: </w:t>
      </w:r>
      <w:r w:rsidRPr="009D0F9E">
        <w:rPr>
          <w:rFonts w:ascii="Calibri" w:hAnsi="Calibri"/>
          <w:color w:val="1E293B"/>
          <w:sz w:val="20"/>
          <w:lang w:val="es-VE"/>
        </w:rPr>
        <w:t>Para la consulta de solicitudes de vacaciones aprobadas y su descuento automático en el balance de días de TH.</w:t>
      </w:r>
    </w:p>
    <w:p w14:paraId="13CF1634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• Módulo Time-Tracking: </w:t>
      </w:r>
      <w:r w:rsidRPr="009D0F9E">
        <w:rPr>
          <w:rFonts w:ascii="Calibri" w:hAnsi="Calibri"/>
          <w:color w:val="1E293B"/>
          <w:sz w:val="20"/>
          <w:lang w:val="es-VE"/>
        </w:rPr>
        <w:t>Para la lectura programática de marcas de entrada y salida orientadas a la prenómina.</w:t>
      </w:r>
    </w:p>
    <w:p w14:paraId="0A938703" w14:textId="77777777" w:rsidR="00270800" w:rsidRPr="009D0F9E" w:rsidRDefault="00000000" w:rsidP="00FD25A2">
      <w:pPr>
        <w:pStyle w:val="Listaconvietas"/>
        <w:spacing w:after="60"/>
        <w:jc w:val="both"/>
        <w:rPr>
          <w:lang w:val="es-VE"/>
        </w:rPr>
      </w:pPr>
      <w:r w:rsidRPr="009D0F9E">
        <w:rPr>
          <w:rFonts w:ascii="Calibri" w:hAnsi="Calibri"/>
          <w:b/>
          <w:color w:val="1E293B"/>
          <w:sz w:val="20"/>
          <w:lang w:val="es-VE"/>
        </w:rPr>
        <w:t xml:space="preserve">• Módulo Documentos de Nómina: </w:t>
      </w:r>
      <w:r w:rsidRPr="009D0F9E">
        <w:rPr>
          <w:rFonts w:ascii="Calibri" w:hAnsi="Calibri"/>
          <w:color w:val="1E293B"/>
          <w:sz w:val="20"/>
          <w:lang w:val="es-VE"/>
        </w:rPr>
        <w:t>Para la distribución digital y segura de recibos de pago en PDF directamente al perfil móvil de cada empleado.</w:t>
      </w:r>
    </w:p>
    <w:p w14:paraId="58AF2174" w14:textId="77777777" w:rsidR="00270800" w:rsidRPr="009D0F9E" w:rsidRDefault="00270800">
      <w:pPr>
        <w:spacing w:after="400"/>
        <w:rPr>
          <w:lang w:val="es-VE"/>
        </w:rPr>
      </w:pPr>
    </w:p>
    <w:p w14:paraId="51A35527" w14:textId="38C6C47C" w:rsidR="00270800" w:rsidRPr="009D0F9E" w:rsidRDefault="00000000">
      <w:pPr>
        <w:rPr>
          <w:lang w:val="es-VE"/>
        </w:rPr>
      </w:pPr>
      <w:r w:rsidRPr="009D0F9E">
        <w:rPr>
          <w:rFonts w:ascii="Calibri" w:hAnsi="Calibri"/>
          <w:b/>
          <w:color w:val="1B365D"/>
          <w:sz w:val="20"/>
          <w:lang w:val="es-VE"/>
        </w:rPr>
        <w:t>DIRECCIÓN DE SISTEMAS Y TECNOLOGÍA</w:t>
      </w:r>
      <w:r w:rsidRPr="009D0F9E">
        <w:rPr>
          <w:rFonts w:ascii="Calibri" w:hAnsi="Calibri"/>
          <w:b/>
          <w:color w:val="1B365D"/>
          <w:sz w:val="20"/>
          <w:lang w:val="es-VE"/>
        </w:rPr>
        <w:br/>
      </w:r>
      <w:r w:rsidRPr="009D0F9E">
        <w:rPr>
          <w:rFonts w:ascii="Calibri" w:hAnsi="Calibri"/>
          <w:color w:val="64748B"/>
          <w:sz w:val="19"/>
          <w:lang w:val="es-VE"/>
        </w:rPr>
        <w:t>Liderazgo de Arquitectura Cloud e Integraciones Empresariales</w:t>
      </w:r>
      <w:r w:rsidRPr="009D0F9E">
        <w:rPr>
          <w:rFonts w:ascii="Calibri" w:hAnsi="Calibri"/>
          <w:color w:val="64748B"/>
          <w:sz w:val="19"/>
          <w:lang w:val="es-VE"/>
        </w:rPr>
        <w:br/>
      </w:r>
      <w:r w:rsidR="009D0F9E" w:rsidRPr="009D0F9E">
        <w:rPr>
          <w:rFonts w:ascii="Calibri" w:hAnsi="Calibri"/>
          <w:color w:val="64748B"/>
          <w:sz w:val="19"/>
          <w:lang w:val="es-VE"/>
        </w:rPr>
        <w:t>Grupo</w:t>
      </w:r>
      <w:r w:rsidR="009D0F9E">
        <w:rPr>
          <w:rFonts w:ascii="Calibri" w:hAnsi="Calibri"/>
          <w:color w:val="64748B"/>
          <w:sz w:val="19"/>
          <w:lang w:val="es-VE"/>
        </w:rPr>
        <w:t xml:space="preserve"> </w:t>
      </w:r>
      <w:r w:rsidRPr="009D0F9E">
        <w:rPr>
          <w:rFonts w:ascii="Calibri" w:hAnsi="Calibri"/>
          <w:color w:val="64748B"/>
          <w:sz w:val="19"/>
          <w:lang w:val="es-VE"/>
        </w:rPr>
        <w:t>Ponce &amp; Benzo</w:t>
      </w:r>
    </w:p>
    <w:sectPr w:rsidR="00270800" w:rsidRPr="009D0F9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886058">
    <w:abstractNumId w:val="8"/>
  </w:num>
  <w:num w:numId="2" w16cid:durableId="1809784070">
    <w:abstractNumId w:val="6"/>
  </w:num>
  <w:num w:numId="3" w16cid:durableId="1077438287">
    <w:abstractNumId w:val="5"/>
  </w:num>
  <w:num w:numId="4" w16cid:durableId="37508222">
    <w:abstractNumId w:val="4"/>
  </w:num>
  <w:num w:numId="5" w16cid:durableId="424233097">
    <w:abstractNumId w:val="7"/>
  </w:num>
  <w:num w:numId="6" w16cid:durableId="1137452907">
    <w:abstractNumId w:val="3"/>
  </w:num>
  <w:num w:numId="7" w16cid:durableId="1548878155">
    <w:abstractNumId w:val="2"/>
  </w:num>
  <w:num w:numId="8" w16cid:durableId="628633500">
    <w:abstractNumId w:val="1"/>
  </w:num>
  <w:num w:numId="9" w16cid:durableId="26446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800"/>
    <w:rsid w:val="0029639D"/>
    <w:rsid w:val="00326F90"/>
    <w:rsid w:val="003442F5"/>
    <w:rsid w:val="00855194"/>
    <w:rsid w:val="008A20B3"/>
    <w:rsid w:val="009D0F9E"/>
    <w:rsid w:val="00AA1D8D"/>
    <w:rsid w:val="00AF30CA"/>
    <w:rsid w:val="00B47730"/>
    <w:rsid w:val="00BD43DC"/>
    <w:rsid w:val="00C51534"/>
    <w:rsid w:val="00CB0664"/>
    <w:rsid w:val="00CE2136"/>
    <w:rsid w:val="00DB2278"/>
    <w:rsid w:val="00FC693F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61BF44"/>
  <w14:defaultImageDpi w14:val="300"/>
  <w15:docId w15:val="{A7E856CD-5E16-4B78-ACD9-367EBF58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2062</Words>
  <Characters>11341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 Suárez</cp:lastModifiedBy>
  <cp:revision>7</cp:revision>
  <dcterms:created xsi:type="dcterms:W3CDTF">2013-12-23T23:15:00Z</dcterms:created>
  <dcterms:modified xsi:type="dcterms:W3CDTF">2026-10-01T20:33:00Z</dcterms:modified>
  <cp:category/>
</cp:coreProperties>
</file>