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476" w14:textId="77777777" w:rsidR="007A15F6" w:rsidRPr="004D683C" w:rsidRDefault="006E5F2D">
      <w:pPr>
        <w:spacing w:after="120"/>
        <w:rPr>
          <w:lang w:val="es-VE"/>
        </w:rPr>
      </w:pPr>
      <w:r w:rsidRPr="004D683C">
        <w:rPr>
          <w:rFonts w:ascii="Arial" w:hAnsi="Arial"/>
          <w:b/>
          <w:color w:val="0284C7"/>
          <w:sz w:val="18"/>
          <w:lang w:val="es-VE"/>
        </w:rPr>
        <w:t>INFORME TÉCNICO - GERENCIAL | MODELO OPERATIVO DE DATOS</w:t>
      </w:r>
    </w:p>
    <w:p w14:paraId="7DA08F4A" w14:textId="77777777" w:rsidR="007A15F6" w:rsidRPr="004D683C" w:rsidRDefault="006E5F2D">
      <w:pPr>
        <w:spacing w:after="160"/>
        <w:rPr>
          <w:lang w:val="es-VE"/>
        </w:rPr>
      </w:pPr>
      <w:r w:rsidRPr="004D683C">
        <w:rPr>
          <w:rFonts w:ascii="Arial" w:hAnsi="Arial"/>
          <w:b/>
          <w:color w:val="0F2C59"/>
          <w:sz w:val="40"/>
          <w:lang w:val="es-VE"/>
        </w:rPr>
        <w:t>Flujo de Información y Proceso de Intercambio de Datos entre la Aplicación TH y Humand</w:t>
      </w:r>
    </w:p>
    <w:p w14:paraId="13A61494" w14:textId="77777777" w:rsidR="007A15F6" w:rsidRPr="004D683C" w:rsidRDefault="006E5F2D">
      <w:pPr>
        <w:spacing w:after="360"/>
        <w:rPr>
          <w:lang w:val="es-VE"/>
        </w:rPr>
      </w:pPr>
      <w:r w:rsidRPr="004D683C">
        <w:rPr>
          <w:rFonts w:ascii="Arial" w:hAnsi="Arial"/>
          <w:color w:val="64748B"/>
          <w:lang w:val="es-VE"/>
        </w:rPr>
        <w:t>Definición de la arquitectura bidireccional maestro-esclavo, caracterización de los 7 paquetes de datos intercambiados, topología de sincronización, frecuencias operativas y controles de integridad.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A15F6" w14:paraId="0470E450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2DA2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Código de Referencia: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7EB7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INF-ST-TH-HUMAND-2026-02</w:t>
            </w:r>
          </w:p>
        </w:tc>
      </w:tr>
      <w:tr w:rsidR="007A15F6" w:rsidRPr="00A40FC5" w14:paraId="5C693CFF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7C85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Áreas Responsables: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E1A5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Dirección de Sistemas y Tecnología / Gerencia de Talento Humano</w:t>
            </w:r>
          </w:p>
        </w:tc>
      </w:tr>
      <w:tr w:rsidR="007A15F6" w:rsidRPr="00A40FC5" w14:paraId="797D59F9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FC78" w14:textId="77777777" w:rsidR="007A15F6" w:rsidRDefault="006E5F2D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F2C59"/>
                <w:sz w:val="19"/>
              </w:rPr>
              <w:t>Destinatarios</w:t>
            </w:r>
            <w:proofErr w:type="spellEnd"/>
            <w:r>
              <w:rPr>
                <w:rFonts w:ascii="Arial" w:hAnsi="Arial"/>
                <w:b/>
                <w:color w:val="0F2C59"/>
                <w:sz w:val="19"/>
              </w:rP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6EC6" w14:textId="558973DD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Comité Directivo, Gerencia de Nómina y Talento Humano</w:t>
            </w:r>
          </w:p>
        </w:tc>
      </w:tr>
      <w:tr w:rsidR="007A15F6" w14:paraId="2E4322DF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A090" w14:textId="77777777" w:rsidR="007A15F6" w:rsidRDefault="006E5F2D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F2C59"/>
                <w:sz w:val="19"/>
              </w:rPr>
              <w:t>Fecha</w:t>
            </w:r>
            <w:proofErr w:type="spellEnd"/>
            <w:r>
              <w:rPr>
                <w:rFonts w:ascii="Arial" w:hAnsi="Arial"/>
                <w:b/>
                <w:color w:val="0F2C59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0F2C59"/>
                <w:sz w:val="19"/>
              </w:rPr>
              <w:t>Emisión</w:t>
            </w:r>
            <w:proofErr w:type="spellEnd"/>
            <w:r>
              <w:rPr>
                <w:rFonts w:ascii="Arial" w:hAnsi="Arial"/>
                <w:b/>
                <w:color w:val="0F2C59"/>
                <w:sz w:val="19"/>
              </w:rP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9EEF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Septiembre 2026 | Versión 1.0 (Definitiva)</w:t>
            </w:r>
          </w:p>
        </w:tc>
      </w:tr>
    </w:tbl>
    <w:p w14:paraId="609D9C00" w14:textId="77777777" w:rsidR="007A15F6" w:rsidRDefault="007A15F6">
      <w:pPr>
        <w:spacing w:after="240"/>
      </w:pPr>
    </w:p>
    <w:p w14:paraId="1976A7C9" w14:textId="77777777" w:rsidR="007A15F6" w:rsidRDefault="006E5F2D">
      <w:pPr>
        <w:spacing w:before="320" w:after="120"/>
      </w:pPr>
      <w:r>
        <w:rPr>
          <w:rFonts w:ascii="Arial" w:hAnsi="Arial"/>
          <w:b/>
          <w:color w:val="0F2C59"/>
          <w:sz w:val="28"/>
        </w:rPr>
        <w:t>1. Resumen Ejecutivo</w:t>
      </w:r>
    </w:p>
    <w:p w14:paraId="780F8031" w14:textId="54421F00" w:rsidR="007A15F6" w:rsidRPr="004D683C" w:rsidRDefault="006E5F2D">
      <w:pPr>
        <w:spacing w:after="160"/>
        <w:rPr>
          <w:lang w:val="es-VE"/>
        </w:rPr>
      </w:pPr>
      <w:r w:rsidRPr="004D683C">
        <w:rPr>
          <w:rFonts w:ascii="Arial" w:hAnsi="Arial"/>
          <w:color w:val="1E293B"/>
          <w:sz w:val="20"/>
          <w:lang w:val="es-VE"/>
        </w:rPr>
        <w:t>El presente informe establece las directrices arquitectónicas, funcionales y operativas que rigen el intercambio de información entre la Aplicación TH (sistema central de gestión de Talento Humano y Nómina) y la plataforma SaaS Humand (canal de experiencia del empleado, comunicación interna y autogestión). El modelo se fundamenta en el principio de Fuente Única de la Verdad (Single Source of Truth - SSOT), donde la Aplicación TH gobierna el registro maestro de colaboradores, cargos</w:t>
      </w:r>
      <w:r w:rsidR="004D683C">
        <w:rPr>
          <w:rFonts w:ascii="Arial" w:hAnsi="Arial"/>
          <w:color w:val="1E293B"/>
          <w:sz w:val="20"/>
          <w:lang w:val="es-VE"/>
        </w:rPr>
        <w:t xml:space="preserve"> y</w:t>
      </w:r>
      <w:r w:rsidRPr="004D683C">
        <w:rPr>
          <w:rFonts w:ascii="Arial" w:hAnsi="Arial"/>
          <w:color w:val="1E293B"/>
          <w:sz w:val="20"/>
          <w:lang w:val="es-VE"/>
        </w:rPr>
        <w:t xml:space="preserve"> departamentos, mientras que Humand actúa como receptor institucional y emisor de novedades operativas (vacaciones</w:t>
      </w:r>
      <w:r w:rsidR="004D683C">
        <w:rPr>
          <w:rFonts w:ascii="Arial" w:hAnsi="Arial"/>
          <w:color w:val="1E293B"/>
          <w:sz w:val="20"/>
          <w:lang w:val="es-VE"/>
        </w:rPr>
        <w:t>,</w:t>
      </w:r>
      <w:r w:rsidRPr="004D683C">
        <w:rPr>
          <w:rFonts w:ascii="Arial" w:hAnsi="Arial"/>
          <w:color w:val="1E293B"/>
          <w:sz w:val="20"/>
          <w:lang w:val="es-VE"/>
        </w:rPr>
        <w:t xml:space="preserve"> </w:t>
      </w:r>
      <w:r w:rsidR="004D683C">
        <w:rPr>
          <w:rFonts w:ascii="Arial" w:hAnsi="Arial"/>
          <w:color w:val="1E293B"/>
          <w:sz w:val="20"/>
          <w:lang w:val="es-VE"/>
        </w:rPr>
        <w:t>comunicaciones, servicios, entre otros.</w:t>
      </w:r>
      <w:r w:rsidRPr="004D683C">
        <w:rPr>
          <w:rFonts w:ascii="Arial" w:hAnsi="Arial"/>
          <w:color w:val="1E293B"/>
          <w:sz w:val="20"/>
          <w:lang w:val="es-VE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7A15F6" w:rsidRPr="00A40FC5" w14:paraId="22F3EE20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05B5BE28" w14:textId="77777777" w:rsidR="007A15F6" w:rsidRPr="004D683C" w:rsidRDefault="006E5F2D">
            <w:pPr>
              <w:spacing w:after="80"/>
              <w:rPr>
                <w:lang w:val="es-VE"/>
              </w:rPr>
            </w:pPr>
            <w:r>
              <w:rPr>
                <w:rFonts w:ascii="Arial" w:hAnsi="Arial"/>
                <w:b/>
                <w:color w:val="0F2C59"/>
                <w:sz w:val="21"/>
              </w:rPr>
              <w:t>🏛️</w:t>
            </w:r>
            <w:r w:rsidRPr="004D683C">
              <w:rPr>
                <w:rFonts w:ascii="Arial" w:hAnsi="Arial"/>
                <w:b/>
                <w:color w:val="0F2C59"/>
                <w:sz w:val="21"/>
                <w:lang w:val="es-VE"/>
              </w:rPr>
              <w:t xml:space="preserve">  Principio de Fuente Única de la Verdad (SSOT)</w:t>
            </w:r>
          </w:p>
          <w:p w14:paraId="284CBCCE" w14:textId="09328B48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Toda modificación de datos contractuales, jerárquicos y de filiación nace y se valida exclusivamente en la Aplicación TH. Humand replica esta información de forma automatizada y sin intervención manual, eliminando silos de información y asegurando coherencia al 100% entre ambas plataformas.</w:t>
            </w:r>
          </w:p>
        </w:tc>
      </w:tr>
    </w:tbl>
    <w:p w14:paraId="0302F973" w14:textId="77777777" w:rsidR="007A15F6" w:rsidRPr="004D683C" w:rsidRDefault="007A15F6">
      <w:pPr>
        <w:spacing w:after="80"/>
        <w:rPr>
          <w:lang w:val="es-VE"/>
        </w:rPr>
      </w:pPr>
    </w:p>
    <w:p w14:paraId="2428709E" w14:textId="77777777" w:rsidR="007A15F6" w:rsidRPr="004D683C" w:rsidRDefault="006E5F2D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2. Topología y Arquitectura del Flujo de Información</w:t>
      </w:r>
    </w:p>
    <w:p w14:paraId="3E752DF3" w14:textId="77777777" w:rsidR="007A15F6" w:rsidRPr="004D683C" w:rsidRDefault="006E5F2D">
      <w:pPr>
        <w:spacing w:after="12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La integración opera bajo un esquema bidireccional asimétrico compuesto por tres capas principales:</w:t>
      </w:r>
    </w:p>
    <w:p w14:paraId="307097DF" w14:textId="4CF7E29D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1: Origen de Datos (Aplicación TH): </w:t>
      </w:r>
      <w:r w:rsidRPr="004D683C">
        <w:rPr>
          <w:rFonts w:ascii="Arial" w:hAnsi="Arial"/>
          <w:color w:val="1E293B"/>
          <w:sz w:val="20"/>
          <w:lang w:val="es-VE"/>
        </w:rPr>
        <w:t>Almacena las entidades maestras en base de datos relacional PostgreSQL. Expone módulos de Empleados, Departamentos, Cargos, Empresas</w:t>
      </w:r>
      <w:r w:rsidR="004D683C">
        <w:rPr>
          <w:rFonts w:ascii="Arial" w:hAnsi="Arial"/>
          <w:color w:val="1E293B"/>
          <w:sz w:val="20"/>
          <w:lang w:val="es-VE"/>
        </w:rPr>
        <w:t>, entre otros</w:t>
      </w:r>
      <w:r w:rsidRPr="004D683C">
        <w:rPr>
          <w:rFonts w:ascii="Arial" w:hAnsi="Arial"/>
          <w:color w:val="1E293B"/>
          <w:sz w:val="20"/>
          <w:lang w:val="es-VE"/>
        </w:rPr>
        <w:t>.</w:t>
      </w:r>
    </w:p>
    <w:p w14:paraId="6A7F229F" w14:textId="77777777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2: Motor de Integración (TH-Humand Sync Engine): </w:t>
      </w:r>
      <w:r w:rsidRPr="004D683C">
        <w:rPr>
          <w:rFonts w:ascii="Arial" w:hAnsi="Arial"/>
          <w:color w:val="1E293B"/>
          <w:sz w:val="20"/>
          <w:lang w:val="es-VE"/>
        </w:rPr>
        <w:t>Middleware autónomo encargado de: (a) extraer deltas y novedades en TH, (b) calcular hashes SHA-256 de estado para evitar llamadas redundantes, (c) transformar las estructuras al contrato JSON exigido por Humand, y (d) gestionar colas de reintentos y rate limits con backoff exponencial.</w:t>
      </w:r>
    </w:p>
    <w:p w14:paraId="2A601B15" w14:textId="4D3A2991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3: Destino y Captura en Campo (Humand Public API v1): </w:t>
      </w:r>
      <w:r w:rsidRPr="004D683C">
        <w:rPr>
          <w:rFonts w:ascii="Arial" w:hAnsi="Arial"/>
          <w:color w:val="1E293B"/>
          <w:sz w:val="20"/>
          <w:lang w:val="es-VE"/>
        </w:rPr>
        <w:t xml:space="preserve">Recibe el aprovisionamiento de usuarios, estructura y documentos. Procesa solicitudes de vacaciones (Time-Off) y marcas horarias (Time-Tracking) que luego son extraídas de retorno hacia la </w:t>
      </w:r>
      <w:r w:rsidR="00B961B0">
        <w:rPr>
          <w:rFonts w:ascii="Arial" w:hAnsi="Arial"/>
          <w:color w:val="1E293B"/>
          <w:sz w:val="20"/>
          <w:lang w:val="es-VE"/>
        </w:rPr>
        <w:t>Aplicaci</w:t>
      </w:r>
      <w:r w:rsidRPr="004D683C">
        <w:rPr>
          <w:rFonts w:ascii="Arial" w:hAnsi="Arial"/>
          <w:color w:val="1E293B"/>
          <w:sz w:val="20"/>
          <w:lang w:val="es-VE"/>
        </w:rPr>
        <w:t>ón de TH.</w:t>
      </w:r>
    </w:p>
    <w:p w14:paraId="2E40C25D" w14:textId="77777777" w:rsidR="007A15F6" w:rsidRPr="004D683C" w:rsidRDefault="006E5F2D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lastRenderedPageBreak/>
        <w:t>3. Desglose de los 7 Paquetes de Información Intercambiados</w:t>
      </w:r>
    </w:p>
    <w:p w14:paraId="056D2655" w14:textId="77777777" w:rsidR="007A15F6" w:rsidRPr="004D683C" w:rsidRDefault="006E5F2D">
      <w:pPr>
        <w:spacing w:after="16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El intercambio técnico se organiza en siete paquetes de datos normalizados, cada uno con una dirección, un propósito y una periodicidad específica: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3168"/>
        <w:gridCol w:w="3312"/>
      </w:tblGrid>
      <w:tr w:rsidR="007A15F6" w14:paraId="23BCDFB7" w14:textId="77777777">
        <w:trPr>
          <w:jc w:val="center"/>
        </w:trPr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4355D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Paquete / Módulo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00A3F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Dirección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60E73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Entidades y Datos Involucrados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4F30C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Impacto Operativo</w:t>
            </w:r>
          </w:p>
        </w:tc>
      </w:tr>
      <w:tr w:rsidR="007A15F6" w:rsidRPr="00A40FC5" w14:paraId="6EA7A94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1FB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Estructura Organizacional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38BF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CF50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Departamentos (código, nombre), Puestos (código, denominación), Segmentaciones (Empresas, Sedes).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C2300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Garantiza que la estructura de gerencias y cargos en Humand coincida exactamente con la autorizada en TH.</w:t>
            </w:r>
          </w:p>
        </w:tc>
      </w:tr>
      <w:tr w:rsidR="007A15F6" w:rsidRPr="00A40FC5" w14:paraId="1836238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6F9E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2. Ficha y Censo de Empleados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D90A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E29E8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Código empleado (employeeInternalId), Cédula (en fields), Nombres, Apellidos, Emails corporativo/personal, Teléfono, Fechas de ingreso y nacimiento.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5186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Aprovisionamiento de cuentas y mantenimiento de datos de contacto institucional actualizados.</w:t>
            </w:r>
          </w:p>
        </w:tc>
      </w:tr>
      <w:tr w:rsidR="007A15F6" w:rsidRPr="00A40FC5" w14:paraId="5B4A6C1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E8F98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3. Organigrama y Aprobadores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A87B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21EB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Supervisor Directo (relación BOSS), Aprobador Designado de trámites (relación REVIEWER).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06CB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Generación automática del árbol jerárquico. Asignar BOSS genera automáticamente la relación SUBORDINATE.</w:t>
            </w:r>
          </w:p>
        </w:tc>
      </w:tr>
      <w:tr w:rsidR="007A15F6" w:rsidRPr="00A40FC5" w14:paraId="6C2CFC3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1A019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4. Ciclo de Vida y Bajas (ABM)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7AE96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5941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Deltas de perfil vía PATCH. Desactivaciones formales vía POST /deactivate con motivo y reasignación de subordinados (newBossId).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9E542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Ejecución de bajas sin dejar colaboradores huérfanos en el organigrama y registro auditable de motivos de retiro.</w:t>
            </w:r>
          </w:p>
        </w:tc>
      </w:tr>
      <w:tr w:rsidR="007A15F6" w:rsidRPr="00EA7BF0" w14:paraId="0831A10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2274" w14:textId="77777777" w:rsidR="007A15F6" w:rsidRPr="00453D14" w:rsidRDefault="006E5F2D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5. Recibos de Pago (PDFs)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6679" w14:textId="77777777" w:rsidR="007A15F6" w:rsidRPr="00453D14" w:rsidRDefault="006E5F2D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321D8" w14:textId="77777777" w:rsidR="007A15F6" w:rsidRPr="00453D14" w:rsidRDefault="006E5F2D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Archivo binario en PDF de recibos de nómina asignado directamente al expediente del trabajador (/users/documents).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65F44" w14:textId="1D527FF0" w:rsidR="007A15F6" w:rsidRPr="00453D14" w:rsidRDefault="006E5F2D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Entrega digital, privada y segura de recibos de pago a través de la aplicación móvil de cada empleado.</w:t>
            </w:r>
            <w:r w:rsidR="004F44FC" w:rsidRPr="004F44FC">
              <w:rPr>
                <w:rFonts w:ascii="Arial" w:hAnsi="Arial"/>
                <w:color w:val="FF0000"/>
                <w:sz w:val="17"/>
                <w:lang w:val="es-VE"/>
              </w:rPr>
              <w:t xml:space="preserve"> NO POR EL MOMENTO</w:t>
            </w:r>
          </w:p>
        </w:tc>
      </w:tr>
      <w:tr w:rsidR="007A15F6" w:rsidRPr="00EA7BF0" w14:paraId="41B1B183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3D9E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6. Vacaciones y Permisos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B975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Humand ➔ TH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7614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Solicitudes de descanso con estatus APPROVED, fechas de disfrute, cantidad de días hábiles consumidos.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960F" w14:textId="25025B92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Alimentación directa de novedades a la nómina de TH para descuento y control estricto de pasivos laborales.</w:t>
            </w:r>
            <w:r w:rsidR="004F44FC">
              <w:rPr>
                <w:rFonts w:ascii="Arial" w:hAnsi="Arial"/>
                <w:color w:val="1E293B"/>
                <w:sz w:val="17"/>
                <w:lang w:val="es-VE"/>
              </w:rPr>
              <w:t xml:space="preserve"> </w:t>
            </w:r>
            <w:r w:rsidR="004F44FC">
              <w:rPr>
                <w:rFonts w:ascii="Arial" w:hAnsi="Arial"/>
                <w:color w:val="FF0000"/>
                <w:sz w:val="17"/>
                <w:lang w:val="es-VE"/>
              </w:rPr>
              <w:t>REALMENTE EN HUMAND SÓLO GESTIONAREMOS DISFRUTES (NO PAGOS)</w:t>
            </w:r>
          </w:p>
        </w:tc>
      </w:tr>
      <w:tr w:rsidR="007A15F6" w:rsidRPr="00A40FC5" w14:paraId="3A9BAD4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D65D" w14:textId="77777777" w:rsidR="007A15F6" w:rsidRPr="00453D14" w:rsidRDefault="006E5F2D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7. Asistencia y Fichajes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39D95" w14:textId="77777777" w:rsidR="007A15F6" w:rsidRPr="00453D14" w:rsidRDefault="006E5F2D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Humand ➔ TH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10E7" w14:textId="77777777" w:rsidR="007A15F6" w:rsidRPr="00453D14" w:rsidRDefault="006E5F2D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Registros de marcajes de entrada/salida (Time-Tracking), marcas apareadas, fecha y hora exacta.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5B77" w14:textId="77777777" w:rsidR="007A15F6" w:rsidRPr="00453D14" w:rsidRDefault="006E5F2D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Cálculo automatizado de sobretiempos, horas extras diurnas/nocturnas y retardos en la prenómina de TH.</w:t>
            </w:r>
          </w:p>
        </w:tc>
      </w:tr>
    </w:tbl>
    <w:p w14:paraId="01416B81" w14:textId="77777777" w:rsidR="007A15F6" w:rsidRPr="004D683C" w:rsidRDefault="006E5F2D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4. Matriz Operativa de Frecuencias y Métodos HTTP</w:t>
      </w:r>
    </w:p>
    <w:p w14:paraId="45C5D488" w14:textId="77777777" w:rsidR="007A15F6" w:rsidRPr="004D683C" w:rsidRDefault="006E5F2D">
      <w:pPr>
        <w:spacing w:after="16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Para preservar la estabilidad de los servicios y respetar las cuotas de Rate Limiting de Humand, cada flujo se ejecuta bajo un método HTTP específico y una cadencia programada: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40"/>
        <w:gridCol w:w="3168"/>
        <w:gridCol w:w="2736"/>
      </w:tblGrid>
      <w:tr w:rsidR="007A15F6" w14:paraId="69E88819" w14:textId="77777777">
        <w:trPr>
          <w:jc w:val="center"/>
        </w:trPr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7523D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Evento / Proceso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ABDCF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Método HTTP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08B42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Endpoint Humand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53BF" w14:textId="77777777" w:rsidR="007A15F6" w:rsidRDefault="006E5F2D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Cadencia / Momento de Ejecución</w:t>
            </w:r>
          </w:p>
        </w:tc>
      </w:tr>
      <w:tr w:rsidR="007A15F6" w:rsidRPr="00A40FC5" w14:paraId="502EBAD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A0C63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Carga Inicial (Sembrado)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9FB9F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PUT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CB71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 (Upsert Masivo)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78F3B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Una sola vez (Puesta en marcha)</w:t>
            </w:r>
          </w:p>
        </w:tc>
      </w:tr>
      <w:tr w:rsidR="007A15F6" w:rsidRPr="00A40FC5" w14:paraId="66FE1CA5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1C2D" w14:textId="77777777" w:rsidR="007A15F6" w:rsidRDefault="006E5F2D">
            <w:pPr>
              <w:spacing w:after="0"/>
            </w:pPr>
            <w:proofErr w:type="spellStart"/>
            <w:r>
              <w:rPr>
                <w:rFonts w:ascii="Arial" w:hAnsi="Arial"/>
                <w:color w:val="1E293B"/>
                <w:sz w:val="18"/>
              </w:rPr>
              <w:t>Catálogos</w:t>
            </w:r>
            <w:proofErr w:type="spellEnd"/>
            <w:r>
              <w:rPr>
                <w:rFonts w:ascii="Arial" w:hAnsi="Arial"/>
                <w:color w:val="1E293B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color w:val="1E293B"/>
                <w:sz w:val="18"/>
              </w:rPr>
              <w:t>Estructura</w:t>
            </w:r>
            <w:proofErr w:type="spellEnd"/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B6EC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6DFF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/departments/bulk, /job-positions/bulk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DCFEA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Bajo demanda (al crear cargos/áreas en TH)</w:t>
            </w:r>
          </w:p>
        </w:tc>
      </w:tr>
      <w:tr w:rsidR="007A15F6" w:rsidRPr="00A40FC5" w14:paraId="30A2C47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E193" w14:textId="77777777" w:rsidR="007A15F6" w:rsidRDefault="006E5F2D">
            <w:pPr>
              <w:spacing w:after="0"/>
            </w:pPr>
            <w:proofErr w:type="spellStart"/>
            <w:r>
              <w:rPr>
                <w:rFonts w:ascii="Arial" w:hAnsi="Arial"/>
                <w:color w:val="1E293B"/>
                <w:sz w:val="18"/>
              </w:rPr>
              <w:lastRenderedPageBreak/>
              <w:t>Nuevos</w:t>
            </w:r>
            <w:proofErr w:type="spellEnd"/>
            <w:r>
              <w:rPr>
                <w:rFonts w:ascii="Arial" w:hAnsi="Arial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8"/>
              </w:rPr>
              <w:t>Ingresos</w:t>
            </w:r>
            <w:proofErr w:type="spellEnd"/>
            <w:r>
              <w:rPr>
                <w:rFonts w:ascii="Arial" w:hAnsi="Arial"/>
                <w:color w:val="1E293B"/>
                <w:sz w:val="18"/>
              </w:rPr>
              <w:t xml:space="preserve"> (Onboarding)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9300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PUT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B5597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F85F5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Inmediato al registrar el contrato en TH</w:t>
            </w:r>
          </w:p>
        </w:tc>
      </w:tr>
      <w:tr w:rsidR="007A15F6" w:rsidRPr="00A40FC5" w14:paraId="6C81A089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1FD5" w14:textId="77777777" w:rsidR="007A15F6" w:rsidRDefault="006E5F2D">
            <w:pPr>
              <w:spacing w:after="0"/>
            </w:pPr>
            <w:proofErr w:type="spellStart"/>
            <w:r>
              <w:rPr>
                <w:rFonts w:ascii="Arial" w:hAnsi="Arial"/>
                <w:color w:val="1E293B"/>
                <w:sz w:val="18"/>
              </w:rPr>
              <w:t>Modificaciones</w:t>
            </w:r>
            <w:proofErr w:type="spellEnd"/>
            <w:r>
              <w:rPr>
                <w:rFonts w:ascii="Arial" w:hAnsi="Arial"/>
                <w:color w:val="1E293B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color w:val="1E293B"/>
                <w:sz w:val="18"/>
              </w:rPr>
              <w:t>Perfil</w:t>
            </w:r>
            <w:proofErr w:type="spellEnd"/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3254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PATCH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99569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AF45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Proceso nocturno por lotes (Deltas diarios)</w:t>
            </w:r>
          </w:p>
        </w:tc>
      </w:tr>
      <w:tr w:rsidR="007A15F6" w:rsidRPr="00A40FC5" w14:paraId="3719F75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A9FF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 xml:space="preserve">Bajas </w:t>
            </w:r>
            <w:proofErr w:type="spellStart"/>
            <w:r>
              <w:rPr>
                <w:rFonts w:ascii="Arial" w:hAnsi="Arial"/>
                <w:color w:val="1E293B"/>
                <w:sz w:val="18"/>
              </w:rPr>
              <w:t>Laborales</w:t>
            </w:r>
            <w:proofErr w:type="spellEnd"/>
            <w:r>
              <w:rPr>
                <w:rFonts w:ascii="Arial" w:hAnsi="Arial"/>
                <w:color w:val="1E293B"/>
                <w:sz w:val="18"/>
              </w:rPr>
              <w:t xml:space="preserve"> (Offboarding)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E69CA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2F2B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/users/{employeeInternalId}/deactivate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754B8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En fecha efectiva de egreso del trabajador</w:t>
            </w:r>
          </w:p>
        </w:tc>
      </w:tr>
      <w:tr w:rsidR="007A15F6" w:rsidRPr="00A40FC5" w14:paraId="7B2C6178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30FBC" w14:textId="77777777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Emisión de Recibos de Pago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F898C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C8936" w14:textId="77777777" w:rsidR="007A15F6" w:rsidRDefault="006E5F2D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/users/{employeeInternalId}/documents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D627" w14:textId="42FB714B" w:rsidR="007A15F6" w:rsidRPr="004D683C" w:rsidRDefault="006E5F2D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Quincenal o mensual (al cerrar nómina en TH)</w:t>
            </w:r>
            <w:r w:rsidR="004F44FC" w:rsidRPr="004F44FC">
              <w:rPr>
                <w:rFonts w:ascii="Arial" w:hAnsi="Arial"/>
                <w:color w:val="FF0000"/>
                <w:sz w:val="18"/>
                <w:lang w:val="es-VE"/>
              </w:rPr>
              <w:t xml:space="preserve"> NO POR AHORA</w:t>
            </w:r>
          </w:p>
        </w:tc>
      </w:tr>
    </w:tbl>
    <w:p w14:paraId="648BB9A7" w14:textId="77777777" w:rsidR="007A15F6" w:rsidRPr="004D683C" w:rsidRDefault="006E5F2D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5. Mecanismos de Confiabilidad y Gobernanza de Datos</w:t>
      </w:r>
    </w:p>
    <w:p w14:paraId="5F5E3460" w14:textId="77777777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Prevención de Spam de Correos (PUT vs POST): </w:t>
      </w:r>
      <w:r w:rsidRPr="004D683C">
        <w:rPr>
          <w:rFonts w:ascii="Arial" w:hAnsi="Arial"/>
          <w:color w:val="1E293B"/>
          <w:sz w:val="19"/>
          <w:lang w:val="es-VE"/>
        </w:rPr>
        <w:t>El endpoint POST /users envía un correo electrónico automático de bienvenida si el empleado tiene configurado email. Para evitar saturar a los colaboradores durante migraciones o altas masivas, el motor emplea exclusivamente PUT /users, el cual es silencioso e idempotente.</w:t>
      </w:r>
    </w:p>
    <w:p w14:paraId="3C0C389E" w14:textId="77777777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Detección Inteligente de Deltas con Hashes SHA-256: </w:t>
      </w:r>
      <w:r w:rsidRPr="004D683C">
        <w:rPr>
          <w:rFonts w:ascii="Arial" w:hAnsi="Arial"/>
          <w:color w:val="1E293B"/>
          <w:sz w:val="19"/>
          <w:lang w:val="es-VE"/>
        </w:rPr>
        <w:t>El motor calcula un hash criptográfico SHA-256 sobre el estado de cada colaborador en TH. Si los datos no han sufrido alteraciones respecto a la última ejecución, la petición hacia Humand es omitida, ahorrando ancho de banda y cuota de procesamiento.</w:t>
      </w:r>
    </w:p>
    <w:p w14:paraId="3BE4D4E6" w14:textId="77777777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Respeto Dinámico de Rate Limits con Backoff: </w:t>
      </w:r>
      <w:r w:rsidRPr="004D683C">
        <w:rPr>
          <w:rFonts w:ascii="Arial" w:hAnsi="Arial"/>
          <w:color w:val="1E293B"/>
          <w:sz w:val="19"/>
          <w:lang w:val="es-VE"/>
        </w:rPr>
        <w:t>Si la infraestructura de Humand responde con HTTP 429 (Too Many Requests), el motor extrae el valor del encabezado 'Retry-After' y suspende la ejecución durante los segundos exactos indicados, reanudando la cola de forma ordenada.</w:t>
      </w:r>
    </w:p>
    <w:p w14:paraId="54C84AAE" w14:textId="77777777" w:rsidR="007A15F6" w:rsidRPr="004D683C" w:rsidRDefault="006E5F2D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Modo Simulación (Dry-Run Mode): </w:t>
      </w:r>
      <w:r w:rsidRPr="004D683C">
        <w:rPr>
          <w:rFonts w:ascii="Arial" w:hAnsi="Arial"/>
          <w:color w:val="1E293B"/>
          <w:sz w:val="19"/>
          <w:lang w:val="es-VE"/>
        </w:rPr>
        <w:t>Permite ejecutar el ciclo completo de conciliación en memoria, emitiendo un reporte cuantitativo de altas, bajas y modificaciones previstas sin aplicar escrituras reales en la plataforma Humand.</w:t>
      </w:r>
    </w:p>
    <w:p w14:paraId="643103CF" w14:textId="77777777" w:rsidR="007A15F6" w:rsidRPr="004D683C" w:rsidRDefault="006E5F2D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6. Hoja de Ruta de Puesta en Marcha (3 Fases)</w:t>
      </w:r>
    </w:p>
    <w:p w14:paraId="476C0194" w14:textId="77777777" w:rsidR="007A15F6" w:rsidRPr="004D683C" w:rsidRDefault="006E5F2D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1: Validación y Sembrado Estructural (Día 1):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Configuración de la API Key en el archivo .env, ejecución del script 'verify_humand_integration.py' y carga inicial masiva de departamentos, cargos y nómina activa mediante PUT.</w:t>
      </w:r>
    </w:p>
    <w:p w14:paraId="15855B64" w14:textId="77777777" w:rsidR="007A15F6" w:rsidRPr="004D683C" w:rsidRDefault="006E5F2D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2: Automatización de Novedades y Bajas (Semana 1):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Activación del proceso nocturno de sincronización incremental (Deltas PATCH) y pruebas controladas de desvinculación formal con reasignación de subordinados.</w:t>
      </w:r>
    </w:p>
    <w:p w14:paraId="380FCFE3" w14:textId="77777777" w:rsidR="007A15F6" w:rsidRPr="004D683C" w:rsidRDefault="006E5F2D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3: Circuito Integral de Nómina y Autogestión (Semana 2 en adelante):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Habilitación de la subida quincenal de recibos de pago en PDF y lectura de solicitudes aprobadas de vacaciones para su deducción automática en la prenómina de TH.</w:t>
      </w:r>
    </w:p>
    <w:p w14:paraId="1277C1B1" w14:textId="77777777" w:rsidR="007A15F6" w:rsidRPr="008B0C90" w:rsidRDefault="006E5F2D">
      <w:pPr>
        <w:spacing w:before="320" w:after="240"/>
        <w:rPr>
          <w:lang w:val="es-VE"/>
        </w:rPr>
      </w:pPr>
      <w:r w:rsidRPr="008B0C90">
        <w:rPr>
          <w:rFonts w:ascii="Arial" w:hAnsi="Arial"/>
          <w:b/>
          <w:color w:val="0F2C59"/>
          <w:sz w:val="28"/>
          <w:lang w:val="es-VE"/>
        </w:rPr>
        <w:t>7. Cuadro de Firmas y Responsabilidades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52"/>
      </w:tblGrid>
      <w:tr w:rsidR="007A15F6" w:rsidRPr="00A40FC5" w14:paraId="4D267862" w14:textId="77777777" w:rsidTr="00A40FC5">
        <w:trPr>
          <w:trHeight w:val="769"/>
          <w:jc w:val="center"/>
        </w:trPr>
        <w:tc>
          <w:tcPr>
            <w:tcW w:w="4680" w:type="dxa"/>
            <w:tcMar>
              <w:top w:w="120" w:type="dxa"/>
              <w:left w:w="100" w:type="dxa"/>
              <w:bottom w:w="40" w:type="dxa"/>
              <w:right w:w="100" w:type="dxa"/>
            </w:tcMar>
          </w:tcPr>
          <w:p w14:paraId="174E53DB" w14:textId="77777777" w:rsidR="007A15F6" w:rsidRPr="004D683C" w:rsidRDefault="006E5F2D">
            <w:pPr>
              <w:jc w:val="center"/>
              <w:rPr>
                <w:lang w:val="es-VE"/>
              </w:rPr>
            </w:pP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t>_________________________________________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Líder de Arquitectura e Integraciones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Dirección de Sistemas y Tecnología</w:t>
            </w:r>
          </w:p>
        </w:tc>
        <w:tc>
          <w:tcPr>
            <w:tcW w:w="4752" w:type="dxa"/>
            <w:tcMar>
              <w:top w:w="120" w:type="dxa"/>
              <w:left w:w="100" w:type="dxa"/>
              <w:bottom w:w="40" w:type="dxa"/>
              <w:right w:w="100" w:type="dxa"/>
            </w:tcMar>
          </w:tcPr>
          <w:p w14:paraId="32F3C702" w14:textId="77777777" w:rsidR="007A15F6" w:rsidRPr="004D683C" w:rsidRDefault="006E5F2D">
            <w:pPr>
              <w:jc w:val="center"/>
              <w:rPr>
                <w:lang w:val="es-VE"/>
              </w:rPr>
            </w:pP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t>_________________________________________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Gerente de Talento Humano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Dirección de Gestión Humana y Nómina</w:t>
            </w:r>
          </w:p>
        </w:tc>
      </w:tr>
    </w:tbl>
    <w:p w14:paraId="0234EBA9" w14:textId="77777777" w:rsidR="00742C64" w:rsidRPr="004D683C" w:rsidRDefault="00742C64" w:rsidP="00A40FC5">
      <w:pPr>
        <w:rPr>
          <w:lang w:val="es-VE"/>
        </w:rPr>
      </w:pPr>
    </w:p>
    <w:sectPr w:rsidR="00742C64" w:rsidRPr="004D683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4B74" w14:textId="77777777" w:rsidR="00253E66" w:rsidRDefault="00253E66">
      <w:pPr>
        <w:spacing w:after="0" w:line="240" w:lineRule="auto"/>
      </w:pPr>
      <w:r>
        <w:separator/>
      </w:r>
    </w:p>
  </w:endnote>
  <w:endnote w:type="continuationSeparator" w:id="0">
    <w:p w14:paraId="3FE27E79" w14:textId="77777777" w:rsidR="00253E66" w:rsidRDefault="00253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588A" w14:textId="77777777" w:rsidR="007A15F6" w:rsidRPr="004D683C" w:rsidRDefault="006E5F2D">
    <w:pPr>
      <w:pStyle w:val="Piedepgina"/>
      <w:jc w:val="center"/>
      <w:rPr>
        <w:lang w:val="es-VE"/>
      </w:rPr>
    </w:pPr>
    <w:r w:rsidRPr="004D683C">
      <w:rPr>
        <w:rFonts w:ascii="Arial" w:hAnsi="Arial"/>
        <w:color w:val="64748B"/>
        <w:sz w:val="16"/>
        <w:lang w:val="es-VE"/>
      </w:rPr>
      <w:t xml:space="preserve">Informe Técnico-Gerencial | Arquitectura de Flujo de Información TH ↔ </w:t>
    </w:r>
    <w:proofErr w:type="spellStart"/>
    <w:r w:rsidRPr="004D683C">
      <w:rPr>
        <w:rFonts w:ascii="Arial" w:hAnsi="Arial"/>
        <w:color w:val="64748B"/>
        <w:sz w:val="16"/>
        <w:lang w:val="es-VE"/>
      </w:rPr>
      <w:t>Humand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28F7" w14:textId="77777777" w:rsidR="00253E66" w:rsidRDefault="00253E66">
      <w:pPr>
        <w:spacing w:after="0" w:line="240" w:lineRule="auto"/>
      </w:pPr>
      <w:r>
        <w:separator/>
      </w:r>
    </w:p>
  </w:footnote>
  <w:footnote w:type="continuationSeparator" w:id="0">
    <w:p w14:paraId="57999FC6" w14:textId="77777777" w:rsidR="00253E66" w:rsidRDefault="00253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00E7" w14:textId="7EABC1CF" w:rsidR="007A15F6" w:rsidRPr="004D683C" w:rsidRDefault="006E5F2D">
    <w:pPr>
      <w:pStyle w:val="Encabezado"/>
      <w:jc w:val="right"/>
      <w:rPr>
        <w:lang w:val="es-VE"/>
      </w:rPr>
    </w:pPr>
    <w:r w:rsidRPr="004D683C">
      <w:rPr>
        <w:rFonts w:ascii="Arial" w:hAnsi="Arial"/>
        <w:color w:val="64748B"/>
        <w:sz w:val="16"/>
        <w:lang w:val="es-VE"/>
      </w:rPr>
      <w:t xml:space="preserve">DIRECCIÓN DE SISTEMAS </w:t>
    </w:r>
    <w:r w:rsidR="00BC077B">
      <w:rPr>
        <w:rFonts w:ascii="Arial" w:hAnsi="Arial"/>
        <w:color w:val="64748B"/>
        <w:sz w:val="16"/>
        <w:lang w:val="es-VE"/>
      </w:rPr>
      <w:t>&amp;</w:t>
    </w:r>
    <w:r w:rsidRPr="004D683C">
      <w:rPr>
        <w:rFonts w:ascii="Arial" w:hAnsi="Arial"/>
        <w:color w:val="64748B"/>
        <w:sz w:val="16"/>
        <w:lang w:val="es-VE"/>
      </w:rPr>
      <w:t xml:space="preserve"> TECNOLOGÍA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384186">
    <w:abstractNumId w:val="8"/>
  </w:num>
  <w:num w:numId="2" w16cid:durableId="7341045">
    <w:abstractNumId w:val="6"/>
  </w:num>
  <w:num w:numId="3" w16cid:durableId="584726835">
    <w:abstractNumId w:val="5"/>
  </w:num>
  <w:num w:numId="4" w16cid:durableId="722405916">
    <w:abstractNumId w:val="4"/>
  </w:num>
  <w:num w:numId="5" w16cid:durableId="1785880673">
    <w:abstractNumId w:val="7"/>
  </w:num>
  <w:num w:numId="6" w16cid:durableId="383480995">
    <w:abstractNumId w:val="3"/>
  </w:num>
  <w:num w:numId="7" w16cid:durableId="2073262613">
    <w:abstractNumId w:val="2"/>
  </w:num>
  <w:num w:numId="8" w16cid:durableId="386612409">
    <w:abstractNumId w:val="1"/>
  </w:num>
  <w:num w:numId="9" w16cid:durableId="64011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D4F"/>
    <w:rsid w:val="0015074B"/>
    <w:rsid w:val="0015151F"/>
    <w:rsid w:val="00253E66"/>
    <w:rsid w:val="0029639D"/>
    <w:rsid w:val="002C6136"/>
    <w:rsid w:val="00326F90"/>
    <w:rsid w:val="00453D14"/>
    <w:rsid w:val="004D683C"/>
    <w:rsid w:val="004F44FC"/>
    <w:rsid w:val="006E5F2D"/>
    <w:rsid w:val="00742C64"/>
    <w:rsid w:val="007A15F6"/>
    <w:rsid w:val="008B0C90"/>
    <w:rsid w:val="00916468"/>
    <w:rsid w:val="00A222CC"/>
    <w:rsid w:val="00A40FC5"/>
    <w:rsid w:val="00AA1D8D"/>
    <w:rsid w:val="00B47730"/>
    <w:rsid w:val="00B961B0"/>
    <w:rsid w:val="00BC077B"/>
    <w:rsid w:val="00CB0664"/>
    <w:rsid w:val="00EA7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94236"/>
  <w14:defaultImageDpi w14:val="300"/>
  <w15:docId w15:val="{4E97C60B-A70C-45BD-A28C-488F9A0F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1209</Words>
  <Characters>6653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 Suárez</cp:lastModifiedBy>
  <cp:revision>2</cp:revision>
  <dcterms:created xsi:type="dcterms:W3CDTF">2026-09-25T14:09:00Z</dcterms:created>
  <dcterms:modified xsi:type="dcterms:W3CDTF">2026-09-25T14:09:00Z</dcterms:modified>
  <cp:category/>
</cp:coreProperties>
</file>