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2476" w14:textId="77777777" w:rsidR="007A15F6" w:rsidRPr="004D683C" w:rsidRDefault="00000000">
      <w:pPr>
        <w:spacing w:after="120"/>
        <w:rPr>
          <w:lang w:val="es-VE"/>
        </w:rPr>
      </w:pPr>
      <w:r w:rsidRPr="004D683C">
        <w:rPr>
          <w:rFonts w:ascii="Arial" w:hAnsi="Arial"/>
          <w:b/>
          <w:color w:val="0284C7"/>
          <w:sz w:val="18"/>
          <w:lang w:val="es-VE"/>
        </w:rPr>
        <w:t>INFORME TÉCNICO - GERENCIAL | MODELO OPERATIVO DE DATOS</w:t>
      </w:r>
    </w:p>
    <w:p w14:paraId="7DA08F4A" w14:textId="77777777" w:rsidR="007A15F6" w:rsidRPr="004D683C" w:rsidRDefault="00000000">
      <w:pPr>
        <w:spacing w:after="160"/>
        <w:rPr>
          <w:lang w:val="es-VE"/>
        </w:rPr>
      </w:pPr>
      <w:r w:rsidRPr="004D683C">
        <w:rPr>
          <w:rFonts w:ascii="Arial" w:hAnsi="Arial"/>
          <w:b/>
          <w:color w:val="0F2C59"/>
          <w:sz w:val="40"/>
          <w:lang w:val="es-VE"/>
        </w:rPr>
        <w:t>Flujo de Información y Proceso de Intercambio de Datos entre la Aplicación TH y Humand</w:t>
      </w:r>
    </w:p>
    <w:p w14:paraId="13A61494" w14:textId="77777777" w:rsidR="007A15F6" w:rsidRPr="004D683C" w:rsidRDefault="00000000">
      <w:pPr>
        <w:spacing w:after="360"/>
        <w:rPr>
          <w:lang w:val="es-VE"/>
        </w:rPr>
      </w:pPr>
      <w:r w:rsidRPr="004D683C">
        <w:rPr>
          <w:rFonts w:ascii="Arial" w:hAnsi="Arial"/>
          <w:color w:val="64748B"/>
          <w:lang w:val="es-VE"/>
        </w:rPr>
        <w:t>Definición de la arquitectura bidireccional maestro-esclavo, caracterización de los 7 paquetes de datos intercambiados, topología de sincronización, frecuencias operativas y controles de integridad.</w:t>
      </w:r>
    </w:p>
    <w:tbl>
      <w:tblPr>
        <w:tblW w:w="0" w:type="auto"/>
        <w:jc w:val="center"/>
        <w:tblBorders>
          <w:top w:val="single" w:sz="6" w:space="0" w:color="0F2C59"/>
          <w:bottom w:val="single" w:sz="6" w:space="0" w:color="0F2C59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7A15F6" w14:paraId="0470E450" w14:textId="77777777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02DA2" w14:textId="77777777" w:rsidR="007A15F6" w:rsidRDefault="00000000">
            <w:pPr>
              <w:spacing w:after="0"/>
            </w:pPr>
            <w:r>
              <w:rPr>
                <w:rFonts w:ascii="Arial" w:hAnsi="Arial"/>
                <w:b/>
                <w:color w:val="0F2C59"/>
                <w:sz w:val="19"/>
              </w:rPr>
              <w:t>Código de Referencia: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7EB7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INF-ST-TH-HUMAND-2026-02</w:t>
            </w:r>
          </w:p>
        </w:tc>
      </w:tr>
      <w:tr w:rsidR="007A15F6" w:rsidRPr="00EA7BF0" w14:paraId="5C693CFF" w14:textId="77777777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7C85" w14:textId="77777777" w:rsidR="007A15F6" w:rsidRDefault="00000000">
            <w:pPr>
              <w:spacing w:after="0"/>
            </w:pPr>
            <w:r>
              <w:rPr>
                <w:rFonts w:ascii="Arial" w:hAnsi="Arial"/>
                <w:b/>
                <w:color w:val="0F2C59"/>
                <w:sz w:val="19"/>
              </w:rPr>
              <w:t>Áreas Responsables: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CE1A5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9"/>
                <w:lang w:val="es-VE"/>
              </w:rPr>
              <w:t>Dirección de Sistemas y Tecnología / Gerencia de Talento Humano</w:t>
            </w:r>
          </w:p>
        </w:tc>
      </w:tr>
      <w:tr w:rsidR="007A15F6" w:rsidRPr="00EA7BF0" w14:paraId="797D59F9" w14:textId="77777777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FC78" w14:textId="77777777" w:rsidR="007A15F6" w:rsidRDefault="00000000">
            <w:pPr>
              <w:spacing w:after="0"/>
            </w:pPr>
            <w:r>
              <w:rPr>
                <w:rFonts w:ascii="Arial" w:hAnsi="Arial"/>
                <w:b/>
                <w:color w:val="0F2C59"/>
                <w:sz w:val="19"/>
              </w:rPr>
              <w:t>Destinatarios: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36EC6" w14:textId="558973DD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9"/>
                <w:lang w:val="es-VE"/>
              </w:rPr>
              <w:t>Comité Directivo, Gerencia de Nómina y Talento Humano</w:t>
            </w:r>
          </w:p>
        </w:tc>
      </w:tr>
      <w:tr w:rsidR="007A15F6" w14:paraId="2E4322DF" w14:textId="77777777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1A090" w14:textId="77777777" w:rsidR="007A15F6" w:rsidRDefault="00000000">
            <w:pPr>
              <w:spacing w:after="0"/>
            </w:pPr>
            <w:r>
              <w:rPr>
                <w:rFonts w:ascii="Arial" w:hAnsi="Arial"/>
                <w:b/>
                <w:color w:val="0F2C59"/>
                <w:sz w:val="19"/>
              </w:rPr>
              <w:t>Fecha de Emisión:</w:t>
            </w:r>
          </w:p>
        </w:tc>
        <w:tc>
          <w:tcPr>
            <w:tcW w:w="61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99EEF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Septiembre 2026 | Versión 1.0 (Definitiva)</w:t>
            </w:r>
          </w:p>
        </w:tc>
      </w:tr>
    </w:tbl>
    <w:p w14:paraId="609D9C00" w14:textId="77777777" w:rsidR="007A15F6" w:rsidRDefault="007A15F6">
      <w:pPr>
        <w:spacing w:after="240"/>
      </w:pPr>
    </w:p>
    <w:p w14:paraId="1976A7C9" w14:textId="77777777" w:rsidR="007A15F6" w:rsidRDefault="00000000">
      <w:pPr>
        <w:spacing w:before="320" w:after="120"/>
      </w:pPr>
      <w:r>
        <w:rPr>
          <w:rFonts w:ascii="Arial" w:hAnsi="Arial"/>
          <w:b/>
          <w:color w:val="0F2C59"/>
          <w:sz w:val="28"/>
        </w:rPr>
        <w:t>1. Resumen Ejecutivo</w:t>
      </w:r>
    </w:p>
    <w:p w14:paraId="780F8031" w14:textId="54421F00" w:rsidR="007A15F6" w:rsidRPr="004D683C" w:rsidRDefault="00000000">
      <w:pPr>
        <w:spacing w:after="160"/>
        <w:rPr>
          <w:lang w:val="es-VE"/>
        </w:rPr>
      </w:pPr>
      <w:r w:rsidRPr="004D683C">
        <w:rPr>
          <w:rFonts w:ascii="Arial" w:hAnsi="Arial"/>
          <w:color w:val="1E293B"/>
          <w:sz w:val="20"/>
          <w:lang w:val="es-VE"/>
        </w:rPr>
        <w:t>El presente informe establece las directrices arquitectónicas, funcionales y operativas que rigen el intercambio de información entre la Aplicación TH (sistema central de gestión de Talento Humano y Nómina) y la plataforma SaaS Humand (canal de experiencia del empleado, comunicación interna y autogestión). El modelo se fundamenta en el principio de Fuente Única de la Verdad (Single Source of Truth - SSOT), donde la Aplicación TH gobierna el registro maestro de colaboradores, cargos</w:t>
      </w:r>
      <w:r w:rsidR="004D683C">
        <w:rPr>
          <w:rFonts w:ascii="Arial" w:hAnsi="Arial"/>
          <w:color w:val="1E293B"/>
          <w:sz w:val="20"/>
          <w:lang w:val="es-VE"/>
        </w:rPr>
        <w:t xml:space="preserve"> y</w:t>
      </w:r>
      <w:r w:rsidRPr="004D683C">
        <w:rPr>
          <w:rFonts w:ascii="Arial" w:hAnsi="Arial"/>
          <w:color w:val="1E293B"/>
          <w:sz w:val="20"/>
          <w:lang w:val="es-VE"/>
        </w:rPr>
        <w:t xml:space="preserve"> departamentos, mientras que Humand actúa como receptor institucional y emisor de novedades operativas (vacaciones</w:t>
      </w:r>
      <w:r w:rsidR="004D683C">
        <w:rPr>
          <w:rFonts w:ascii="Arial" w:hAnsi="Arial"/>
          <w:color w:val="1E293B"/>
          <w:sz w:val="20"/>
          <w:lang w:val="es-VE"/>
        </w:rPr>
        <w:t>,</w:t>
      </w:r>
      <w:r w:rsidRPr="004D683C">
        <w:rPr>
          <w:rFonts w:ascii="Arial" w:hAnsi="Arial"/>
          <w:color w:val="1E293B"/>
          <w:sz w:val="20"/>
          <w:lang w:val="es-VE"/>
        </w:rPr>
        <w:t xml:space="preserve"> </w:t>
      </w:r>
      <w:r w:rsidR="004D683C">
        <w:rPr>
          <w:rFonts w:ascii="Arial" w:hAnsi="Arial"/>
          <w:color w:val="1E293B"/>
          <w:sz w:val="20"/>
          <w:lang w:val="es-VE"/>
        </w:rPr>
        <w:t>comunicaciones, servicios, entre otros.</w:t>
      </w:r>
      <w:r w:rsidRPr="004D683C">
        <w:rPr>
          <w:rFonts w:ascii="Arial" w:hAnsi="Arial"/>
          <w:color w:val="1E293B"/>
          <w:sz w:val="20"/>
          <w:lang w:val="es-VE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A15F6" w:rsidRPr="00EA7BF0" w14:paraId="22F3EE20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05B5BE28" w14:textId="77777777" w:rsidR="007A15F6" w:rsidRPr="004D683C" w:rsidRDefault="00000000">
            <w:pPr>
              <w:spacing w:after="80"/>
              <w:rPr>
                <w:lang w:val="es-VE"/>
              </w:rPr>
            </w:pPr>
            <w:r>
              <w:rPr>
                <w:rFonts w:ascii="Arial" w:hAnsi="Arial"/>
                <w:b/>
                <w:color w:val="0F2C59"/>
                <w:sz w:val="21"/>
              </w:rPr>
              <w:t>🏛️</w:t>
            </w:r>
            <w:r w:rsidRPr="004D683C">
              <w:rPr>
                <w:rFonts w:ascii="Arial" w:hAnsi="Arial"/>
                <w:b/>
                <w:color w:val="0F2C59"/>
                <w:sz w:val="21"/>
                <w:lang w:val="es-VE"/>
              </w:rPr>
              <w:t xml:space="preserve">  Principio de Fuente Única de la Verdad (SSOT)</w:t>
            </w:r>
          </w:p>
          <w:p w14:paraId="284CBCCE" w14:textId="09328B48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9"/>
                <w:lang w:val="es-VE"/>
              </w:rPr>
              <w:t>Toda modificación de datos contractuales, jerárquicos y de filiación nace y se valida exclusivamente en la Aplicación TH. Humand replica esta información de forma automatizada y sin intervención manual, eliminando silos de información y asegurando coherencia al 100% entre ambas plataformas.</w:t>
            </w:r>
          </w:p>
        </w:tc>
      </w:tr>
    </w:tbl>
    <w:p w14:paraId="0302F973" w14:textId="77777777" w:rsidR="007A15F6" w:rsidRPr="004D683C" w:rsidRDefault="007A15F6">
      <w:pPr>
        <w:spacing w:after="80"/>
        <w:rPr>
          <w:lang w:val="es-VE"/>
        </w:rPr>
      </w:pPr>
    </w:p>
    <w:p w14:paraId="2428709E" w14:textId="77777777" w:rsidR="007A15F6" w:rsidRPr="004D683C" w:rsidRDefault="00000000">
      <w:pPr>
        <w:spacing w:before="320" w:after="120"/>
        <w:rPr>
          <w:lang w:val="es-VE"/>
        </w:rPr>
      </w:pPr>
      <w:r w:rsidRPr="004D683C">
        <w:rPr>
          <w:rFonts w:ascii="Arial" w:hAnsi="Arial"/>
          <w:b/>
          <w:color w:val="0F2C59"/>
          <w:sz w:val="28"/>
          <w:lang w:val="es-VE"/>
        </w:rPr>
        <w:t>2. Topología y Arquitectura del Flujo de Información</w:t>
      </w:r>
    </w:p>
    <w:p w14:paraId="3E752DF3" w14:textId="77777777" w:rsidR="007A15F6" w:rsidRPr="004D683C" w:rsidRDefault="00000000">
      <w:pPr>
        <w:spacing w:after="120"/>
        <w:rPr>
          <w:lang w:val="es-VE"/>
        </w:rPr>
      </w:pPr>
      <w:r w:rsidRPr="004D683C">
        <w:rPr>
          <w:rFonts w:ascii="Arial" w:hAnsi="Arial"/>
          <w:sz w:val="20"/>
          <w:lang w:val="es-VE"/>
        </w:rPr>
        <w:t>La integración opera bajo un esquema bidireccional asimétrico compuesto por tres capas principales:</w:t>
      </w:r>
    </w:p>
    <w:p w14:paraId="307097DF" w14:textId="4CF7E29D" w:rsidR="007A15F6" w:rsidRPr="004D683C" w:rsidRDefault="00000000">
      <w:pPr>
        <w:spacing w:before="60" w:after="80"/>
        <w:rPr>
          <w:lang w:val="es-VE"/>
        </w:rPr>
      </w:pPr>
      <w:r w:rsidRPr="004D683C">
        <w:rPr>
          <w:rFonts w:ascii="Arial" w:hAnsi="Arial"/>
          <w:b/>
          <w:color w:val="0284C7"/>
          <w:sz w:val="20"/>
          <w:lang w:val="es-VE"/>
        </w:rPr>
        <w:t xml:space="preserve">• Capa 1: Origen de Datos (Aplicación TH): </w:t>
      </w:r>
      <w:r w:rsidRPr="004D683C">
        <w:rPr>
          <w:rFonts w:ascii="Arial" w:hAnsi="Arial"/>
          <w:color w:val="1E293B"/>
          <w:sz w:val="20"/>
          <w:lang w:val="es-VE"/>
        </w:rPr>
        <w:t>Almacena las entidades maestras en base de datos relacional PostgreSQL. Expone módulos de Empleados, Departamentos, Cargos, Empresas</w:t>
      </w:r>
      <w:r w:rsidR="004D683C">
        <w:rPr>
          <w:rFonts w:ascii="Arial" w:hAnsi="Arial"/>
          <w:color w:val="1E293B"/>
          <w:sz w:val="20"/>
          <w:lang w:val="es-VE"/>
        </w:rPr>
        <w:t>, entre otros</w:t>
      </w:r>
      <w:r w:rsidRPr="004D683C">
        <w:rPr>
          <w:rFonts w:ascii="Arial" w:hAnsi="Arial"/>
          <w:color w:val="1E293B"/>
          <w:sz w:val="20"/>
          <w:lang w:val="es-VE"/>
        </w:rPr>
        <w:t>.</w:t>
      </w:r>
    </w:p>
    <w:p w14:paraId="6A7F229F" w14:textId="77777777" w:rsidR="007A15F6" w:rsidRPr="004D683C" w:rsidRDefault="00000000">
      <w:pPr>
        <w:spacing w:before="60" w:after="80"/>
        <w:rPr>
          <w:lang w:val="es-VE"/>
        </w:rPr>
      </w:pPr>
      <w:r w:rsidRPr="004D683C">
        <w:rPr>
          <w:rFonts w:ascii="Arial" w:hAnsi="Arial"/>
          <w:b/>
          <w:color w:val="0284C7"/>
          <w:sz w:val="20"/>
          <w:lang w:val="es-VE"/>
        </w:rPr>
        <w:t xml:space="preserve">• Capa 2: Motor de Integración (TH-Humand Sync Engine): </w:t>
      </w:r>
      <w:r w:rsidRPr="004D683C">
        <w:rPr>
          <w:rFonts w:ascii="Arial" w:hAnsi="Arial"/>
          <w:color w:val="1E293B"/>
          <w:sz w:val="20"/>
          <w:lang w:val="es-VE"/>
        </w:rPr>
        <w:t>Middleware autónomo encargado de: (a) extraer deltas y novedades en TH, (b) calcular hashes SHA-256 de estado para evitar llamadas redundantes, (c) transformar las estructuras al contrato JSON exigido por Humand, y (d) gestionar colas de reintentos y rate limits con backoff exponencial.</w:t>
      </w:r>
    </w:p>
    <w:p w14:paraId="2A601B15" w14:textId="4D3A2991" w:rsidR="007A15F6" w:rsidRPr="004D683C" w:rsidRDefault="00000000">
      <w:pPr>
        <w:spacing w:before="60" w:after="80"/>
        <w:rPr>
          <w:lang w:val="es-VE"/>
        </w:rPr>
      </w:pPr>
      <w:r w:rsidRPr="004D683C">
        <w:rPr>
          <w:rFonts w:ascii="Arial" w:hAnsi="Arial"/>
          <w:b/>
          <w:color w:val="0284C7"/>
          <w:sz w:val="20"/>
          <w:lang w:val="es-VE"/>
        </w:rPr>
        <w:t xml:space="preserve">• Capa 3: Destino y Captura en Campo (Humand Public API v1): </w:t>
      </w:r>
      <w:r w:rsidRPr="004D683C">
        <w:rPr>
          <w:rFonts w:ascii="Arial" w:hAnsi="Arial"/>
          <w:color w:val="1E293B"/>
          <w:sz w:val="20"/>
          <w:lang w:val="es-VE"/>
        </w:rPr>
        <w:t xml:space="preserve">Recibe el aprovisionamiento de usuarios, estructura y documentos. Procesa solicitudes de vacaciones (Time-Off) y marcas horarias (Time-Tracking) que luego son extraídas de retorno hacia la </w:t>
      </w:r>
      <w:r w:rsidR="00B961B0">
        <w:rPr>
          <w:rFonts w:ascii="Arial" w:hAnsi="Arial"/>
          <w:color w:val="1E293B"/>
          <w:sz w:val="20"/>
          <w:lang w:val="es-VE"/>
        </w:rPr>
        <w:t>Aplicaci</w:t>
      </w:r>
      <w:r w:rsidRPr="004D683C">
        <w:rPr>
          <w:rFonts w:ascii="Arial" w:hAnsi="Arial"/>
          <w:color w:val="1E293B"/>
          <w:sz w:val="20"/>
          <w:lang w:val="es-VE"/>
        </w:rPr>
        <w:t>ón de TH.</w:t>
      </w:r>
    </w:p>
    <w:p w14:paraId="43FBCEFE" w14:textId="77777777" w:rsidR="007A15F6" w:rsidRPr="004D683C" w:rsidRDefault="007A15F6">
      <w:pPr>
        <w:spacing w:after="120"/>
        <w:rPr>
          <w:lang w:val="es-VE"/>
        </w:rPr>
      </w:pPr>
    </w:p>
    <w:p w14:paraId="2E40C25D" w14:textId="77777777" w:rsidR="007A15F6" w:rsidRPr="004D683C" w:rsidRDefault="00000000">
      <w:pPr>
        <w:spacing w:before="320" w:after="120"/>
        <w:rPr>
          <w:lang w:val="es-VE"/>
        </w:rPr>
      </w:pPr>
      <w:r w:rsidRPr="004D683C">
        <w:rPr>
          <w:rFonts w:ascii="Arial" w:hAnsi="Arial"/>
          <w:b/>
          <w:color w:val="0F2C59"/>
          <w:sz w:val="28"/>
          <w:lang w:val="es-VE"/>
        </w:rPr>
        <w:t>3. Desglose de los 7 Paquetes de Información Intercambiados</w:t>
      </w:r>
    </w:p>
    <w:p w14:paraId="056D2655" w14:textId="77777777" w:rsidR="007A15F6" w:rsidRPr="004D683C" w:rsidRDefault="00000000">
      <w:pPr>
        <w:spacing w:after="160"/>
        <w:rPr>
          <w:lang w:val="es-VE"/>
        </w:rPr>
      </w:pPr>
      <w:r w:rsidRPr="004D683C">
        <w:rPr>
          <w:rFonts w:ascii="Arial" w:hAnsi="Arial"/>
          <w:sz w:val="20"/>
          <w:lang w:val="es-VE"/>
        </w:rPr>
        <w:t>El intercambio técnico se organiza en siete paquetes de datos normalizados, cada uno con una dirección, un propósito y una periodicidad específica:</w:t>
      </w:r>
    </w:p>
    <w:tbl>
      <w:tblPr>
        <w:tblW w:w="0" w:type="auto"/>
        <w:jc w:val="center"/>
        <w:tblBorders>
          <w:top w:val="single" w:sz="6" w:space="0" w:color="0F2C59"/>
          <w:bottom w:val="single" w:sz="6" w:space="0" w:color="0F2C59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3168"/>
        <w:gridCol w:w="3312"/>
      </w:tblGrid>
      <w:tr w:rsidR="007A15F6" w14:paraId="23BCDFB7" w14:textId="77777777">
        <w:trPr>
          <w:jc w:val="center"/>
        </w:trPr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4355D" w14:textId="77777777" w:rsidR="007A15F6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Paquete / Módulo</w:t>
            </w:r>
          </w:p>
        </w:tc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00A3F" w14:textId="77777777" w:rsidR="007A15F6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Dirección</w:t>
            </w:r>
          </w:p>
        </w:tc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60E73" w14:textId="77777777" w:rsidR="007A15F6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Entidades y Datos Involucrados</w:t>
            </w:r>
          </w:p>
        </w:tc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4F30C" w14:textId="77777777" w:rsidR="007A15F6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Impacto Operativo</w:t>
            </w:r>
          </w:p>
        </w:tc>
      </w:tr>
      <w:tr w:rsidR="007A15F6" w:rsidRPr="00EA7BF0" w14:paraId="6EA7A94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F31FB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1. Estructura Organizacional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D38BF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TH ➔ Humand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6CF50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Departamentos (código, nombre), Puestos (código, denominación), Segmentaciones (Empresas, Sedes).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C2300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Garantiza que la estructura de gerencias y cargos en Humand coincida exactamente con la autorizada en TH.</w:t>
            </w:r>
          </w:p>
        </w:tc>
      </w:tr>
      <w:tr w:rsidR="007A15F6" w:rsidRPr="00EA7BF0" w14:paraId="1836238D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56F9E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2. Ficha y Censo de Empleados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7D90A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TH ➔ Humand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E29E8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Código empleado (employeeInternalId), Cédula (en fields), Nombres, Apellidos, Emails corporativo/personal, Teléfono, Fechas de ingreso y nacimiento.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A5186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Aprovisionamiento de cuentas y mantenimiento de datos de contacto institucional actualizados.</w:t>
            </w:r>
          </w:p>
        </w:tc>
      </w:tr>
      <w:tr w:rsidR="007A15F6" w:rsidRPr="00EA7BF0" w14:paraId="5B4A6C1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E8F98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3. Organigrama y Aprobadores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7A87B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TH ➔ Humand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721EB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Supervisor Directo (relación BOSS), Aprobador Designado de trámites (relación REVIEWER).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D06CB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Generación automática del árbol jerárquico. Asignar BOSS genera automáticamente la relación SUBORDINATE.</w:t>
            </w:r>
          </w:p>
        </w:tc>
      </w:tr>
      <w:tr w:rsidR="007A15F6" w:rsidRPr="00EA7BF0" w14:paraId="6C2CFC3A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1A019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4. Ciclo de Vida y Bajas (ABM)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7AE96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TH ➔ Humand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15941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Deltas de perfil vía PATCH. Desactivaciones formales vía POST /deactivate con motivo y reasignación de subordinados (newBossId).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9E542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Ejecución de bajas sin dejar colaboradores huérfanos en el organigrama y registro auditable de motivos de retiro.</w:t>
            </w:r>
          </w:p>
        </w:tc>
      </w:tr>
      <w:tr w:rsidR="007A15F6" w:rsidRPr="00EA7BF0" w14:paraId="0831A10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52274" w14:textId="77777777" w:rsidR="007A15F6" w:rsidRPr="00453D14" w:rsidRDefault="00000000">
            <w:pPr>
              <w:spacing w:after="0"/>
              <w:rPr>
                <w:highlight w:val="yellow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</w:rPr>
              <w:t>5. Recibos de Pago (PDFs)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76679" w14:textId="77777777" w:rsidR="007A15F6" w:rsidRPr="00453D14" w:rsidRDefault="00000000">
            <w:pPr>
              <w:spacing w:after="0"/>
              <w:rPr>
                <w:highlight w:val="yellow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</w:rPr>
              <w:t>TH ➔ Humand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321D8" w14:textId="77777777" w:rsidR="007A15F6" w:rsidRPr="00453D14" w:rsidRDefault="00000000">
            <w:pPr>
              <w:spacing w:after="0"/>
              <w:rPr>
                <w:highlight w:val="yellow"/>
                <w:lang w:val="es-VE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  <w:lang w:val="es-VE"/>
              </w:rPr>
              <w:t>Archivo binario en PDF de recibos de nómina asignado directamente al expediente del trabajador (/users/documents).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65F44" w14:textId="77777777" w:rsidR="007A15F6" w:rsidRPr="00453D14" w:rsidRDefault="00000000">
            <w:pPr>
              <w:spacing w:after="0"/>
              <w:rPr>
                <w:highlight w:val="yellow"/>
                <w:lang w:val="es-VE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  <w:lang w:val="es-VE"/>
              </w:rPr>
              <w:t>Entrega digital, privada y segura de recibos de pago a través de la aplicación móvil de cada empleado.</w:t>
            </w:r>
          </w:p>
        </w:tc>
      </w:tr>
      <w:tr w:rsidR="007A15F6" w:rsidRPr="00EA7BF0" w14:paraId="41B1B183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B3D9E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6. Vacaciones y Permisos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7B975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Humand ➔ TH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27614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Solicitudes de descanso con estatus APPROVED, fechas de disfrute, cantidad de días hábiles consumidos.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8960F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7"/>
                <w:lang w:val="es-VE"/>
              </w:rPr>
              <w:t>Alimentación directa de novedades a la nómina de TH para descuento y control estricto de pasivos laborales.</w:t>
            </w:r>
          </w:p>
        </w:tc>
      </w:tr>
      <w:tr w:rsidR="007A15F6" w:rsidRPr="00EA7BF0" w14:paraId="3A9BAD49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3D65D" w14:textId="77777777" w:rsidR="007A15F6" w:rsidRPr="00453D14" w:rsidRDefault="00000000">
            <w:pPr>
              <w:spacing w:after="0"/>
              <w:rPr>
                <w:highlight w:val="yellow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</w:rPr>
              <w:t>7. Asistencia y Fichajes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39D95" w14:textId="77777777" w:rsidR="007A15F6" w:rsidRPr="00453D14" w:rsidRDefault="00000000">
            <w:pPr>
              <w:spacing w:after="0"/>
              <w:rPr>
                <w:highlight w:val="yellow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</w:rPr>
              <w:t>Humand ➔ TH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110E7" w14:textId="77777777" w:rsidR="007A15F6" w:rsidRPr="00453D14" w:rsidRDefault="00000000">
            <w:pPr>
              <w:spacing w:after="0"/>
              <w:rPr>
                <w:highlight w:val="yellow"/>
                <w:lang w:val="es-VE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  <w:lang w:val="es-VE"/>
              </w:rPr>
              <w:t>Registros de marcajes de entrada/salida (Time-Tracking), marcas apareadas, fecha y hora exacta.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25B77" w14:textId="77777777" w:rsidR="007A15F6" w:rsidRPr="00453D14" w:rsidRDefault="00000000">
            <w:pPr>
              <w:spacing w:after="0"/>
              <w:rPr>
                <w:highlight w:val="yellow"/>
                <w:lang w:val="es-VE"/>
              </w:rPr>
            </w:pPr>
            <w:r w:rsidRPr="00453D14">
              <w:rPr>
                <w:rFonts w:ascii="Arial" w:hAnsi="Arial"/>
                <w:color w:val="1E293B"/>
                <w:sz w:val="17"/>
                <w:highlight w:val="yellow"/>
                <w:lang w:val="es-VE"/>
              </w:rPr>
              <w:t>Cálculo automatizado de sobretiempos, horas extras diurnas/nocturnas y retardos en la prenómina de TH.</w:t>
            </w:r>
          </w:p>
        </w:tc>
      </w:tr>
    </w:tbl>
    <w:p w14:paraId="01416B81" w14:textId="77777777" w:rsidR="007A15F6" w:rsidRPr="004D683C" w:rsidRDefault="00000000">
      <w:pPr>
        <w:spacing w:before="320" w:after="120"/>
        <w:rPr>
          <w:lang w:val="es-VE"/>
        </w:rPr>
      </w:pPr>
      <w:r w:rsidRPr="004D683C">
        <w:rPr>
          <w:rFonts w:ascii="Arial" w:hAnsi="Arial"/>
          <w:b/>
          <w:color w:val="0F2C59"/>
          <w:sz w:val="28"/>
          <w:lang w:val="es-VE"/>
        </w:rPr>
        <w:t>4. Matriz Operativa de Frecuencias y Métodos HTTP</w:t>
      </w:r>
    </w:p>
    <w:p w14:paraId="45C5D488" w14:textId="77777777" w:rsidR="007A15F6" w:rsidRPr="004D683C" w:rsidRDefault="00000000">
      <w:pPr>
        <w:spacing w:after="160"/>
        <w:rPr>
          <w:lang w:val="es-VE"/>
        </w:rPr>
      </w:pPr>
      <w:r w:rsidRPr="004D683C">
        <w:rPr>
          <w:rFonts w:ascii="Arial" w:hAnsi="Arial"/>
          <w:sz w:val="20"/>
          <w:lang w:val="es-VE"/>
        </w:rPr>
        <w:t>Para preservar la estabilidad de los servicios y respetar las cuotas de Rate Limiting de Humand, cada flujo se ejecuta bajo un método HTTP específico y una cadencia programada:</w:t>
      </w:r>
    </w:p>
    <w:tbl>
      <w:tblPr>
        <w:tblW w:w="0" w:type="auto"/>
        <w:jc w:val="center"/>
        <w:tblBorders>
          <w:top w:val="single" w:sz="6" w:space="0" w:color="0F2C59"/>
          <w:bottom w:val="single" w:sz="6" w:space="0" w:color="0F2C59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340"/>
        <w:gridCol w:w="3168"/>
        <w:gridCol w:w="2736"/>
      </w:tblGrid>
      <w:tr w:rsidR="007A15F6" w14:paraId="69E88819" w14:textId="77777777">
        <w:trPr>
          <w:jc w:val="center"/>
        </w:trPr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7523D" w14:textId="77777777" w:rsidR="007A15F6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Evento / Proceso</w:t>
            </w:r>
          </w:p>
        </w:tc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ABDCF" w14:textId="77777777" w:rsidR="007A15F6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Método HTTP</w:t>
            </w:r>
          </w:p>
        </w:tc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08B42" w14:textId="77777777" w:rsidR="007A15F6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Endpoint Humand</w:t>
            </w:r>
          </w:p>
        </w:tc>
        <w:tc>
          <w:tcPr>
            <w:tcW w:w="2340" w:type="dxa"/>
            <w:shd w:val="clear" w:color="auto" w:fill="0F2C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B53BF" w14:textId="77777777" w:rsidR="007A15F6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Cadencia / Momento de Ejecución</w:t>
            </w:r>
          </w:p>
        </w:tc>
      </w:tr>
      <w:tr w:rsidR="007A15F6" w:rsidRPr="00EA7BF0" w14:paraId="502EBAD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A0C63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Carga Inicial (Sembrado)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9FB9F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PUT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6CB71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/users (Upsert Masivo)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78F3B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8"/>
                <w:lang w:val="es-VE"/>
              </w:rPr>
              <w:t>Una sola vez (Puesta en marcha)</w:t>
            </w:r>
          </w:p>
        </w:tc>
      </w:tr>
      <w:tr w:rsidR="007A15F6" w:rsidRPr="00EA7BF0" w14:paraId="66FE1CA5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21C2D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Catálogos de Estructura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FB6EC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POST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96DFF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/departments/bulk, /job-positions/bulk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DCFEA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8"/>
                <w:lang w:val="es-VE"/>
              </w:rPr>
              <w:t>Bajo demanda (al crear cargos/áreas en TH)</w:t>
            </w:r>
          </w:p>
        </w:tc>
      </w:tr>
      <w:tr w:rsidR="007A15F6" w:rsidRPr="00EA7BF0" w14:paraId="30A2C479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DE193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lastRenderedPageBreak/>
              <w:t>Nuevos Ingresos (Onboarding)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39300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PUT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B5597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/users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F85F5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8"/>
                <w:lang w:val="es-VE"/>
              </w:rPr>
              <w:t>Inmediato al registrar el contrato en TH</w:t>
            </w:r>
          </w:p>
        </w:tc>
      </w:tr>
      <w:tr w:rsidR="007A15F6" w:rsidRPr="00EA7BF0" w14:paraId="6C81A089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81FD5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Modificaciones de Perfil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A3254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PATCH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99569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/users/{employeeInternalId}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5AF45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8"/>
                <w:lang w:val="es-VE"/>
              </w:rPr>
              <w:t>Proceso nocturno por lotes (Deltas diarios)</w:t>
            </w:r>
          </w:p>
        </w:tc>
      </w:tr>
      <w:tr w:rsidR="007A15F6" w:rsidRPr="00EA7BF0" w14:paraId="3719F75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8A9FF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Bajas Laborales (Offboarding)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E69CA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POST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D2F2B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/users/{employeeInternalId}/deactivate</w:t>
            </w:r>
          </w:p>
        </w:tc>
        <w:tc>
          <w:tcPr>
            <w:tcW w:w="273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754B8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8"/>
                <w:lang w:val="es-VE"/>
              </w:rPr>
              <w:t>En fecha efectiva de egreso del trabajador</w:t>
            </w:r>
          </w:p>
        </w:tc>
      </w:tr>
      <w:tr w:rsidR="007A15F6" w:rsidRPr="00EA7BF0" w14:paraId="7B2C6178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30FBC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8"/>
                <w:lang w:val="es-VE"/>
              </w:rPr>
              <w:t>Emisión de Recibos de Pago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F898C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POST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C8936" w14:textId="77777777" w:rsidR="007A15F6" w:rsidRDefault="00000000"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/users/{employeeInternalId}/documents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8D627" w14:textId="77777777" w:rsidR="007A15F6" w:rsidRPr="004D683C" w:rsidRDefault="00000000">
            <w:pPr>
              <w:spacing w:after="0"/>
              <w:rPr>
                <w:lang w:val="es-VE"/>
              </w:rPr>
            </w:pPr>
            <w:r w:rsidRPr="004D683C">
              <w:rPr>
                <w:rFonts w:ascii="Arial" w:hAnsi="Arial"/>
                <w:color w:val="1E293B"/>
                <w:sz w:val="18"/>
                <w:lang w:val="es-VE"/>
              </w:rPr>
              <w:t>Quincenal o mensual (al cerrar nómina en TH)</w:t>
            </w:r>
          </w:p>
        </w:tc>
      </w:tr>
    </w:tbl>
    <w:p w14:paraId="648BB9A7" w14:textId="77777777" w:rsidR="007A15F6" w:rsidRPr="004D683C" w:rsidRDefault="00000000">
      <w:pPr>
        <w:spacing w:before="320" w:after="120"/>
        <w:rPr>
          <w:lang w:val="es-VE"/>
        </w:rPr>
      </w:pPr>
      <w:r w:rsidRPr="004D683C">
        <w:rPr>
          <w:rFonts w:ascii="Arial" w:hAnsi="Arial"/>
          <w:b/>
          <w:color w:val="0F2C59"/>
          <w:sz w:val="28"/>
          <w:lang w:val="es-VE"/>
        </w:rPr>
        <w:t>5. Mecanismos de Confiabilidad y Gobernanza de Datos</w:t>
      </w:r>
    </w:p>
    <w:p w14:paraId="5F5E3460" w14:textId="77777777" w:rsidR="007A15F6" w:rsidRPr="004D683C" w:rsidRDefault="00000000">
      <w:pPr>
        <w:spacing w:before="60" w:after="80"/>
        <w:rPr>
          <w:lang w:val="es-VE"/>
        </w:rPr>
      </w:pPr>
      <w:r w:rsidRPr="004D683C">
        <w:rPr>
          <w:rFonts w:ascii="Arial" w:hAnsi="Arial"/>
          <w:b/>
          <w:color w:val="0F2C59"/>
          <w:sz w:val="20"/>
          <w:lang w:val="es-VE"/>
        </w:rPr>
        <w:t>⚙</w:t>
      </w:r>
      <w:r>
        <w:rPr>
          <w:rFonts w:ascii="Arial" w:hAnsi="Arial"/>
          <w:b/>
          <w:color w:val="0F2C59"/>
          <w:sz w:val="20"/>
        </w:rPr>
        <w:t>️</w:t>
      </w:r>
      <w:r w:rsidRPr="004D683C">
        <w:rPr>
          <w:rFonts w:ascii="Arial" w:hAnsi="Arial"/>
          <w:b/>
          <w:color w:val="0F2C59"/>
          <w:sz w:val="20"/>
          <w:lang w:val="es-VE"/>
        </w:rPr>
        <w:t xml:space="preserve">  Prevención de Spam de Correos (PUT vs POST): </w:t>
      </w:r>
      <w:r w:rsidRPr="004D683C">
        <w:rPr>
          <w:rFonts w:ascii="Arial" w:hAnsi="Arial"/>
          <w:color w:val="1E293B"/>
          <w:sz w:val="19"/>
          <w:lang w:val="es-VE"/>
        </w:rPr>
        <w:t>El endpoint POST /users envía un correo electrónico automático de bienvenida si el empleado tiene configurado email. Para evitar saturar a los colaboradores durante migraciones o altas masivas, el motor emplea exclusivamente PUT /users, el cual es silencioso e idempotente.</w:t>
      </w:r>
    </w:p>
    <w:p w14:paraId="3C0C389E" w14:textId="77777777" w:rsidR="007A15F6" w:rsidRPr="004D683C" w:rsidRDefault="00000000">
      <w:pPr>
        <w:spacing w:before="60" w:after="80"/>
        <w:rPr>
          <w:lang w:val="es-VE"/>
        </w:rPr>
      </w:pPr>
      <w:r w:rsidRPr="004D683C">
        <w:rPr>
          <w:rFonts w:ascii="Arial" w:hAnsi="Arial"/>
          <w:b/>
          <w:color w:val="0F2C59"/>
          <w:sz w:val="20"/>
          <w:lang w:val="es-VE"/>
        </w:rPr>
        <w:t>⚙</w:t>
      </w:r>
      <w:r>
        <w:rPr>
          <w:rFonts w:ascii="Arial" w:hAnsi="Arial"/>
          <w:b/>
          <w:color w:val="0F2C59"/>
          <w:sz w:val="20"/>
        </w:rPr>
        <w:t>️</w:t>
      </w:r>
      <w:r w:rsidRPr="004D683C">
        <w:rPr>
          <w:rFonts w:ascii="Arial" w:hAnsi="Arial"/>
          <w:b/>
          <w:color w:val="0F2C59"/>
          <w:sz w:val="20"/>
          <w:lang w:val="es-VE"/>
        </w:rPr>
        <w:t xml:space="preserve">  Detección Inteligente de Deltas con Hashes SHA-256: </w:t>
      </w:r>
      <w:r w:rsidRPr="004D683C">
        <w:rPr>
          <w:rFonts w:ascii="Arial" w:hAnsi="Arial"/>
          <w:color w:val="1E293B"/>
          <w:sz w:val="19"/>
          <w:lang w:val="es-VE"/>
        </w:rPr>
        <w:t>El motor calcula un hash criptográfico SHA-256 sobre el estado de cada colaborador en TH. Si los datos no han sufrido alteraciones respecto a la última ejecución, la petición hacia Humand es omitida, ahorrando ancho de banda y cuota de procesamiento.</w:t>
      </w:r>
    </w:p>
    <w:p w14:paraId="3BE4D4E6" w14:textId="77777777" w:rsidR="007A15F6" w:rsidRPr="004D683C" w:rsidRDefault="00000000">
      <w:pPr>
        <w:spacing w:before="60" w:after="80"/>
        <w:rPr>
          <w:lang w:val="es-VE"/>
        </w:rPr>
      </w:pPr>
      <w:r w:rsidRPr="004D683C">
        <w:rPr>
          <w:rFonts w:ascii="Arial" w:hAnsi="Arial"/>
          <w:b/>
          <w:color w:val="0F2C59"/>
          <w:sz w:val="20"/>
          <w:lang w:val="es-VE"/>
        </w:rPr>
        <w:t>⚙</w:t>
      </w:r>
      <w:r>
        <w:rPr>
          <w:rFonts w:ascii="Arial" w:hAnsi="Arial"/>
          <w:b/>
          <w:color w:val="0F2C59"/>
          <w:sz w:val="20"/>
        </w:rPr>
        <w:t>️</w:t>
      </w:r>
      <w:r w:rsidRPr="004D683C">
        <w:rPr>
          <w:rFonts w:ascii="Arial" w:hAnsi="Arial"/>
          <w:b/>
          <w:color w:val="0F2C59"/>
          <w:sz w:val="20"/>
          <w:lang w:val="es-VE"/>
        </w:rPr>
        <w:t xml:space="preserve">  Respeto Dinámico de Rate Limits con Backoff: </w:t>
      </w:r>
      <w:r w:rsidRPr="004D683C">
        <w:rPr>
          <w:rFonts w:ascii="Arial" w:hAnsi="Arial"/>
          <w:color w:val="1E293B"/>
          <w:sz w:val="19"/>
          <w:lang w:val="es-VE"/>
        </w:rPr>
        <w:t>Si la infraestructura de Humand responde con HTTP 429 (Too Many Requests), el motor extrae el valor del encabezado 'Retry-After' y suspende la ejecución durante los segundos exactos indicados, reanudando la cola de forma ordenada.</w:t>
      </w:r>
    </w:p>
    <w:p w14:paraId="54C84AAE" w14:textId="77777777" w:rsidR="007A15F6" w:rsidRPr="004D683C" w:rsidRDefault="00000000">
      <w:pPr>
        <w:spacing w:before="60" w:after="80"/>
        <w:rPr>
          <w:lang w:val="es-VE"/>
        </w:rPr>
      </w:pPr>
      <w:r w:rsidRPr="004D683C">
        <w:rPr>
          <w:rFonts w:ascii="Arial" w:hAnsi="Arial"/>
          <w:b/>
          <w:color w:val="0F2C59"/>
          <w:sz w:val="20"/>
          <w:lang w:val="es-VE"/>
        </w:rPr>
        <w:t>⚙</w:t>
      </w:r>
      <w:r>
        <w:rPr>
          <w:rFonts w:ascii="Arial" w:hAnsi="Arial"/>
          <w:b/>
          <w:color w:val="0F2C59"/>
          <w:sz w:val="20"/>
        </w:rPr>
        <w:t>️</w:t>
      </w:r>
      <w:r w:rsidRPr="004D683C">
        <w:rPr>
          <w:rFonts w:ascii="Arial" w:hAnsi="Arial"/>
          <w:b/>
          <w:color w:val="0F2C59"/>
          <w:sz w:val="20"/>
          <w:lang w:val="es-VE"/>
        </w:rPr>
        <w:t xml:space="preserve">  Modo Simulación (Dry-Run Mode): </w:t>
      </w:r>
      <w:r w:rsidRPr="004D683C">
        <w:rPr>
          <w:rFonts w:ascii="Arial" w:hAnsi="Arial"/>
          <w:color w:val="1E293B"/>
          <w:sz w:val="19"/>
          <w:lang w:val="es-VE"/>
        </w:rPr>
        <w:t>Permite ejecutar el ciclo completo de conciliación en memoria, emitiendo un reporte cuantitativo de altas, bajas y modificaciones previstas sin aplicar escrituras reales en la plataforma Humand.</w:t>
      </w:r>
    </w:p>
    <w:p w14:paraId="643103CF" w14:textId="77777777" w:rsidR="007A15F6" w:rsidRPr="004D683C" w:rsidRDefault="00000000">
      <w:pPr>
        <w:spacing w:before="320" w:after="120"/>
        <w:rPr>
          <w:lang w:val="es-VE"/>
        </w:rPr>
      </w:pPr>
      <w:r w:rsidRPr="004D683C">
        <w:rPr>
          <w:rFonts w:ascii="Arial" w:hAnsi="Arial"/>
          <w:b/>
          <w:color w:val="0F2C59"/>
          <w:sz w:val="28"/>
          <w:lang w:val="es-VE"/>
        </w:rPr>
        <w:t>6. Hoja de Ruta de Puesta en Marcha (3 Fases)</w:t>
      </w:r>
    </w:p>
    <w:p w14:paraId="476C0194" w14:textId="77777777" w:rsidR="007A15F6" w:rsidRPr="004D683C" w:rsidRDefault="00000000">
      <w:pPr>
        <w:spacing w:before="60" w:after="80"/>
        <w:rPr>
          <w:lang w:val="es-VE"/>
        </w:rPr>
      </w:pPr>
      <w:r>
        <w:rPr>
          <w:rFonts w:ascii="Arial" w:hAnsi="Arial"/>
          <w:b/>
          <w:color w:val="0284C7"/>
          <w:sz w:val="20"/>
        </w:rPr>
        <w:t>🚩</w:t>
      </w:r>
      <w:r w:rsidRPr="004D683C">
        <w:rPr>
          <w:rFonts w:ascii="Arial" w:hAnsi="Arial"/>
          <w:b/>
          <w:color w:val="0284C7"/>
          <w:sz w:val="20"/>
          <w:lang w:val="es-VE"/>
        </w:rPr>
        <w:t xml:space="preserve"> Fase 1: Validación y Sembrado Estructural (Día 1):</w:t>
      </w:r>
      <w:r w:rsidRPr="004D683C">
        <w:rPr>
          <w:rFonts w:ascii="Arial" w:hAnsi="Arial"/>
          <w:b/>
          <w:color w:val="0284C7"/>
          <w:sz w:val="20"/>
          <w:lang w:val="es-VE"/>
        </w:rPr>
        <w:br/>
      </w:r>
      <w:r w:rsidRPr="004D683C">
        <w:rPr>
          <w:rFonts w:ascii="Arial" w:hAnsi="Arial"/>
          <w:color w:val="1E293B"/>
          <w:sz w:val="19"/>
          <w:lang w:val="es-VE"/>
        </w:rPr>
        <w:t>Configuración de la API Key en el archivo .env, ejecución del script 'verify_humand_integration.py' y carga inicial masiva de departamentos, cargos y nómina activa mediante PUT.</w:t>
      </w:r>
    </w:p>
    <w:p w14:paraId="15855B64" w14:textId="77777777" w:rsidR="007A15F6" w:rsidRPr="004D683C" w:rsidRDefault="00000000">
      <w:pPr>
        <w:spacing w:before="60" w:after="80"/>
        <w:rPr>
          <w:lang w:val="es-VE"/>
        </w:rPr>
      </w:pPr>
      <w:r>
        <w:rPr>
          <w:rFonts w:ascii="Arial" w:hAnsi="Arial"/>
          <w:b/>
          <w:color w:val="0284C7"/>
          <w:sz w:val="20"/>
        </w:rPr>
        <w:t>🚩</w:t>
      </w:r>
      <w:r w:rsidRPr="004D683C">
        <w:rPr>
          <w:rFonts w:ascii="Arial" w:hAnsi="Arial"/>
          <w:b/>
          <w:color w:val="0284C7"/>
          <w:sz w:val="20"/>
          <w:lang w:val="es-VE"/>
        </w:rPr>
        <w:t xml:space="preserve"> Fase 2: Automatización de Novedades y Bajas (Semana 1):</w:t>
      </w:r>
      <w:r w:rsidRPr="004D683C">
        <w:rPr>
          <w:rFonts w:ascii="Arial" w:hAnsi="Arial"/>
          <w:b/>
          <w:color w:val="0284C7"/>
          <w:sz w:val="20"/>
          <w:lang w:val="es-VE"/>
        </w:rPr>
        <w:br/>
      </w:r>
      <w:r w:rsidRPr="004D683C">
        <w:rPr>
          <w:rFonts w:ascii="Arial" w:hAnsi="Arial"/>
          <w:color w:val="1E293B"/>
          <w:sz w:val="19"/>
          <w:lang w:val="es-VE"/>
        </w:rPr>
        <w:t>Activación del proceso nocturno de sincronización incremental (Deltas PATCH) y pruebas controladas de desvinculación formal con reasignación de subordinados.</w:t>
      </w:r>
    </w:p>
    <w:p w14:paraId="380FCFE3" w14:textId="77777777" w:rsidR="007A15F6" w:rsidRPr="004D683C" w:rsidRDefault="00000000">
      <w:pPr>
        <w:spacing w:before="60" w:after="80"/>
        <w:rPr>
          <w:lang w:val="es-VE"/>
        </w:rPr>
      </w:pPr>
      <w:r>
        <w:rPr>
          <w:rFonts w:ascii="Arial" w:hAnsi="Arial"/>
          <w:b/>
          <w:color w:val="0284C7"/>
          <w:sz w:val="20"/>
        </w:rPr>
        <w:t>🚩</w:t>
      </w:r>
      <w:r w:rsidRPr="004D683C">
        <w:rPr>
          <w:rFonts w:ascii="Arial" w:hAnsi="Arial"/>
          <w:b/>
          <w:color w:val="0284C7"/>
          <w:sz w:val="20"/>
          <w:lang w:val="es-VE"/>
        </w:rPr>
        <w:t xml:space="preserve"> Fase 3: Circuito Integral de Nómina y Autogestión (Semana 2 en adelante):</w:t>
      </w:r>
      <w:r w:rsidRPr="004D683C">
        <w:rPr>
          <w:rFonts w:ascii="Arial" w:hAnsi="Arial"/>
          <w:b/>
          <w:color w:val="0284C7"/>
          <w:sz w:val="20"/>
          <w:lang w:val="es-VE"/>
        </w:rPr>
        <w:br/>
      </w:r>
      <w:r w:rsidRPr="004D683C">
        <w:rPr>
          <w:rFonts w:ascii="Arial" w:hAnsi="Arial"/>
          <w:color w:val="1E293B"/>
          <w:sz w:val="19"/>
          <w:lang w:val="es-VE"/>
        </w:rPr>
        <w:t>Habilitación de la subida quincenal de recibos de pago en PDF y lectura de solicitudes aprobadas de vacaciones para su deducción automática en la prenómina de TH.</w:t>
      </w:r>
    </w:p>
    <w:p w14:paraId="1277C1B1" w14:textId="77777777" w:rsidR="007A15F6" w:rsidRPr="008B0C90" w:rsidRDefault="00000000">
      <w:pPr>
        <w:spacing w:before="320" w:after="240"/>
        <w:rPr>
          <w:lang w:val="es-VE"/>
        </w:rPr>
      </w:pPr>
      <w:r w:rsidRPr="008B0C90">
        <w:rPr>
          <w:rFonts w:ascii="Arial" w:hAnsi="Arial"/>
          <w:b/>
          <w:color w:val="0F2C59"/>
          <w:sz w:val="28"/>
          <w:lang w:val="es-VE"/>
        </w:rPr>
        <w:t>7. Cuadro de Firmas y Responsabilidades</w:t>
      </w:r>
    </w:p>
    <w:tbl>
      <w:tblPr>
        <w:tblW w:w="0" w:type="auto"/>
        <w:jc w:val="center"/>
        <w:tblBorders>
          <w:top w:val="single" w:sz="6" w:space="0" w:color="0F2C59"/>
          <w:bottom w:val="single" w:sz="6" w:space="0" w:color="0F2C59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52"/>
      </w:tblGrid>
      <w:tr w:rsidR="007A15F6" w:rsidRPr="00EA7BF0" w14:paraId="4D267862" w14:textId="77777777" w:rsidTr="008B0C90">
        <w:trPr>
          <w:jc w:val="center"/>
        </w:trPr>
        <w:tc>
          <w:tcPr>
            <w:tcW w:w="4680" w:type="dxa"/>
            <w:tcMar>
              <w:top w:w="120" w:type="dxa"/>
              <w:left w:w="100" w:type="dxa"/>
              <w:bottom w:w="40" w:type="dxa"/>
              <w:right w:w="100" w:type="dxa"/>
            </w:tcMar>
          </w:tcPr>
          <w:p w14:paraId="174E53DB" w14:textId="77777777" w:rsidR="007A15F6" w:rsidRPr="004D683C" w:rsidRDefault="00000000">
            <w:pPr>
              <w:jc w:val="center"/>
              <w:rPr>
                <w:lang w:val="es-VE"/>
              </w:rPr>
            </w:pPr>
            <w:r w:rsidRPr="004D683C">
              <w:rPr>
                <w:rFonts w:ascii="Arial" w:hAnsi="Arial"/>
                <w:b/>
                <w:color w:val="1E293B"/>
                <w:sz w:val="19"/>
                <w:lang w:val="es-VE"/>
              </w:rPr>
              <w:t>_________________________________________</w:t>
            </w:r>
            <w:r w:rsidRPr="004D683C">
              <w:rPr>
                <w:rFonts w:ascii="Arial" w:hAnsi="Arial"/>
                <w:b/>
                <w:color w:val="1E293B"/>
                <w:sz w:val="19"/>
                <w:lang w:val="es-VE"/>
              </w:rPr>
              <w:br/>
              <w:t>Líder de Arquitectura e Integraciones</w:t>
            </w:r>
            <w:r w:rsidRPr="004D683C">
              <w:rPr>
                <w:rFonts w:ascii="Arial" w:hAnsi="Arial"/>
                <w:b/>
                <w:color w:val="1E293B"/>
                <w:sz w:val="19"/>
                <w:lang w:val="es-VE"/>
              </w:rPr>
              <w:br/>
              <w:t>Dirección de Sistemas y Tecnología</w:t>
            </w:r>
          </w:p>
        </w:tc>
        <w:tc>
          <w:tcPr>
            <w:tcW w:w="4752" w:type="dxa"/>
            <w:tcMar>
              <w:top w:w="120" w:type="dxa"/>
              <w:left w:w="100" w:type="dxa"/>
              <w:bottom w:w="40" w:type="dxa"/>
              <w:right w:w="100" w:type="dxa"/>
            </w:tcMar>
          </w:tcPr>
          <w:p w14:paraId="32F3C702" w14:textId="77777777" w:rsidR="007A15F6" w:rsidRPr="004D683C" w:rsidRDefault="00000000">
            <w:pPr>
              <w:jc w:val="center"/>
              <w:rPr>
                <w:lang w:val="es-VE"/>
              </w:rPr>
            </w:pPr>
            <w:r w:rsidRPr="004D683C">
              <w:rPr>
                <w:rFonts w:ascii="Arial" w:hAnsi="Arial"/>
                <w:b/>
                <w:color w:val="1E293B"/>
                <w:sz w:val="19"/>
                <w:lang w:val="es-VE"/>
              </w:rPr>
              <w:t>_________________________________________</w:t>
            </w:r>
            <w:r w:rsidRPr="004D683C">
              <w:rPr>
                <w:rFonts w:ascii="Arial" w:hAnsi="Arial"/>
                <w:b/>
                <w:color w:val="1E293B"/>
                <w:sz w:val="19"/>
                <w:lang w:val="es-VE"/>
              </w:rPr>
              <w:br/>
              <w:t>Gerente de Talento Humano</w:t>
            </w:r>
            <w:r w:rsidRPr="004D683C">
              <w:rPr>
                <w:rFonts w:ascii="Arial" w:hAnsi="Arial"/>
                <w:b/>
                <w:color w:val="1E293B"/>
                <w:sz w:val="19"/>
                <w:lang w:val="es-VE"/>
              </w:rPr>
              <w:br/>
              <w:t>Dirección de Gestión Humana y Nómina</w:t>
            </w:r>
          </w:p>
        </w:tc>
      </w:tr>
    </w:tbl>
    <w:p w14:paraId="0234EBA9" w14:textId="77777777" w:rsidR="00742C64" w:rsidRPr="004D683C" w:rsidRDefault="00742C64">
      <w:pPr>
        <w:rPr>
          <w:lang w:val="es-VE"/>
        </w:rPr>
      </w:pPr>
    </w:p>
    <w:sectPr w:rsidR="00742C64" w:rsidRPr="004D683C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54BC2" w14:textId="77777777" w:rsidR="00074D4F" w:rsidRDefault="00074D4F">
      <w:pPr>
        <w:spacing w:after="0" w:line="240" w:lineRule="auto"/>
      </w:pPr>
      <w:r>
        <w:separator/>
      </w:r>
    </w:p>
  </w:endnote>
  <w:endnote w:type="continuationSeparator" w:id="0">
    <w:p w14:paraId="3B4051B7" w14:textId="77777777" w:rsidR="00074D4F" w:rsidRDefault="00074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8588A" w14:textId="77777777" w:rsidR="007A15F6" w:rsidRPr="004D683C" w:rsidRDefault="00000000">
    <w:pPr>
      <w:pStyle w:val="Piedepgina"/>
      <w:jc w:val="center"/>
      <w:rPr>
        <w:lang w:val="es-VE"/>
      </w:rPr>
    </w:pPr>
    <w:r w:rsidRPr="004D683C">
      <w:rPr>
        <w:rFonts w:ascii="Arial" w:hAnsi="Arial"/>
        <w:color w:val="64748B"/>
        <w:sz w:val="16"/>
        <w:lang w:val="es-VE"/>
      </w:rPr>
      <w:t xml:space="preserve">Informe Técnico-Gerencial | Arquitectura de Flujo de Información TH ↔ </w:t>
    </w:r>
    <w:proofErr w:type="spellStart"/>
    <w:r w:rsidRPr="004D683C">
      <w:rPr>
        <w:rFonts w:ascii="Arial" w:hAnsi="Arial"/>
        <w:color w:val="64748B"/>
        <w:sz w:val="16"/>
        <w:lang w:val="es-VE"/>
      </w:rPr>
      <w:t>Humand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77664" w14:textId="77777777" w:rsidR="00074D4F" w:rsidRDefault="00074D4F">
      <w:pPr>
        <w:spacing w:after="0" w:line="240" w:lineRule="auto"/>
      </w:pPr>
      <w:r>
        <w:separator/>
      </w:r>
    </w:p>
  </w:footnote>
  <w:footnote w:type="continuationSeparator" w:id="0">
    <w:p w14:paraId="30D3BE0E" w14:textId="77777777" w:rsidR="00074D4F" w:rsidRDefault="00074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300E7" w14:textId="7EABC1CF" w:rsidR="007A15F6" w:rsidRPr="004D683C" w:rsidRDefault="00000000">
    <w:pPr>
      <w:pStyle w:val="Encabezado"/>
      <w:jc w:val="right"/>
      <w:rPr>
        <w:lang w:val="es-VE"/>
      </w:rPr>
    </w:pPr>
    <w:r w:rsidRPr="004D683C">
      <w:rPr>
        <w:rFonts w:ascii="Arial" w:hAnsi="Arial"/>
        <w:color w:val="64748B"/>
        <w:sz w:val="16"/>
        <w:lang w:val="es-VE"/>
      </w:rPr>
      <w:t xml:space="preserve">DIRECCIÓN DE SISTEMAS </w:t>
    </w:r>
    <w:r w:rsidR="00BC077B">
      <w:rPr>
        <w:rFonts w:ascii="Arial" w:hAnsi="Arial"/>
        <w:color w:val="64748B"/>
        <w:sz w:val="16"/>
        <w:lang w:val="es-VE"/>
      </w:rPr>
      <w:t>&amp;</w:t>
    </w:r>
    <w:r w:rsidRPr="004D683C">
      <w:rPr>
        <w:rFonts w:ascii="Arial" w:hAnsi="Arial"/>
        <w:color w:val="64748B"/>
        <w:sz w:val="16"/>
        <w:lang w:val="es-VE"/>
      </w:rPr>
      <w:t xml:space="preserve"> TECNOLOGÍA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35702">
    <w:abstractNumId w:val="8"/>
  </w:num>
  <w:num w:numId="2" w16cid:durableId="1562596970">
    <w:abstractNumId w:val="6"/>
  </w:num>
  <w:num w:numId="3" w16cid:durableId="469203925">
    <w:abstractNumId w:val="5"/>
  </w:num>
  <w:num w:numId="4" w16cid:durableId="1510022514">
    <w:abstractNumId w:val="4"/>
  </w:num>
  <w:num w:numId="5" w16cid:durableId="86120565">
    <w:abstractNumId w:val="7"/>
  </w:num>
  <w:num w:numId="6" w16cid:durableId="774708685">
    <w:abstractNumId w:val="3"/>
  </w:num>
  <w:num w:numId="7" w16cid:durableId="1651130711">
    <w:abstractNumId w:val="2"/>
  </w:num>
  <w:num w:numId="8" w16cid:durableId="1891073905">
    <w:abstractNumId w:val="1"/>
  </w:num>
  <w:num w:numId="9" w16cid:durableId="27768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D4F"/>
    <w:rsid w:val="0015074B"/>
    <w:rsid w:val="0015151F"/>
    <w:rsid w:val="0029639D"/>
    <w:rsid w:val="002C6136"/>
    <w:rsid w:val="00326F90"/>
    <w:rsid w:val="00453D14"/>
    <w:rsid w:val="004D683C"/>
    <w:rsid w:val="00742C64"/>
    <w:rsid w:val="007A15F6"/>
    <w:rsid w:val="008B0C90"/>
    <w:rsid w:val="00A222CC"/>
    <w:rsid w:val="00AA1D8D"/>
    <w:rsid w:val="00B47730"/>
    <w:rsid w:val="00B961B0"/>
    <w:rsid w:val="00BC077B"/>
    <w:rsid w:val="00CB0664"/>
    <w:rsid w:val="00EA7B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F94236"/>
  <w14:defaultImageDpi w14:val="300"/>
  <w15:docId w15:val="{4E97C60B-A70C-45BD-A28C-488F9A0F4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1195</Words>
  <Characters>6577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Albin Suárez</cp:lastModifiedBy>
  <cp:revision>11</cp:revision>
  <dcterms:created xsi:type="dcterms:W3CDTF">2013-12-23T23:15:00Z</dcterms:created>
  <dcterms:modified xsi:type="dcterms:W3CDTF">2026-09-23T16:25:00Z</dcterms:modified>
  <cp:category/>
</cp:coreProperties>
</file>