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718096"/>
          <w:sz w:val="17"/>
        </w:rPr>
        <w:t>DIRECCIÓN DE SISTEMAS Y TECNOLOGÍA | GERENCIA DE TALENTO HUMANO</w:t>
      </w:r>
    </w:p>
    <w:p>
      <w:pPr>
        <w:spacing w:before="80" w:after="40"/>
      </w:pPr>
      <w:r>
        <w:rPr>
          <w:rFonts w:ascii="Calibri" w:hAnsi="Calibri"/>
          <w:b/>
          <w:color w:val="1B365D"/>
          <w:sz w:val="34"/>
        </w:rPr>
        <w:t>INFORME GERENCIAL: PLAN DE IMPLEMENTACIÓN Y PRUEBAS DE INTEGRACIÓN</w:t>
      </w:r>
    </w:p>
    <w:p>
      <w:pPr>
        <w:spacing w:before="40" w:after="200"/>
      </w:pPr>
      <w:r>
        <w:rPr>
          <w:rFonts w:ascii="Calibri" w:hAnsi="Calibri"/>
          <w:color w:val="2B6CB0"/>
          <w:sz w:val="22"/>
        </w:rPr>
        <w:t>Protocolo Canónico para la Integración de Datos TH ↔ Humand Public API v1 bajo Estricta Política de Confidencialidad Salarial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3312"/>
            <w:shd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D3748"/>
                <w:sz w:val="18"/>
              </w:rPr>
              <w:t>Código de Referencia:</w:t>
            </w:r>
          </w:p>
        </w:tc>
        <w:tc>
          <w:tcPr>
            <w:tcW w:type="dxa" w:w="604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8"/>
              </w:rPr>
              <w:t>INF-GER-TH-HUMAND-2026-03</w:t>
            </w:r>
          </w:p>
        </w:tc>
      </w:tr>
      <w:tr>
        <w:tc>
          <w:tcPr>
            <w:tcW w:type="dxa" w:w="3312"/>
            <w:shd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D3748"/>
                <w:sz w:val="18"/>
              </w:rPr>
              <w:t>Áreas Responsables: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8"/>
              </w:rPr>
              <w:t>Dirección de Sistemas y Tecnología / Gerencia Corporativa de Talento Humano</w:t>
            </w:r>
          </w:p>
        </w:tc>
      </w:tr>
      <w:tr>
        <w:tc>
          <w:tcPr>
            <w:tcW w:type="dxa" w:w="3312"/>
            <w:shd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D3748"/>
                <w:sz w:val="18"/>
              </w:rPr>
              <w:t>Fecha de Emisión:</w:t>
            </w:r>
          </w:p>
        </w:tc>
        <w:tc>
          <w:tcPr>
            <w:tcW w:type="dxa" w:w="604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8"/>
              </w:rPr>
              <w:t>28 de Septiembre de 2026</w:t>
            </w:r>
          </w:p>
        </w:tc>
      </w:tr>
      <w:tr>
        <w:tc>
          <w:tcPr>
            <w:tcW w:type="dxa" w:w="3312"/>
            <w:shd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D3748"/>
                <w:sz w:val="18"/>
              </w:rPr>
              <w:t>Directiva Especial de Seguridad: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53030"/>
                <w:sz w:val="18"/>
              </w:rPr>
              <w:t>CONFIDENCIALIDAD TOTAL: Exclusión de Bandas Salariales y Compensación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1. Resumen Ejecutivo</w:t>
      </w:r>
    </w:p>
    <w:p>
      <w:pPr>
        <w:spacing w:after="120" w:line="276" w:lineRule="auto"/>
      </w:pPr>
      <w:r>
        <w:t>Habiendo obtenido formalmente las credenciales y parámetros de conexión de la API Pública de Humand (v1), el presente informe detalla la arquitectura técnica, las etapas de ejecución y el plan riguroso de pruebas para interconectar de forma automatizada la Aplicación de Talento Humano (TH) con la plataforma Humand. El objetivo es gobernar el aprovisionamiento de empleados, el organigrama y las novedades laborales con alta disponibilidad, sin fricciones operativas y con absoluta fidelidad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20"/>
              </w:rPr>
              <w:t xml:space="preserve">DISPONIBILIDAD DE CREDENCIALES: </w:t>
            </w:r>
            <w:r>
              <w:rPr>
                <w:rFonts w:ascii="Calibri" w:hAnsi="Calibri"/>
                <w:color w:val="2D3748"/>
                <w:sz w:val="19"/>
              </w:rPr>
              <w:t>Se confirma la recepción de la API Key corporativa para el entorno de producción Humand (https://api-prod.humand.co/public/api/v1). Se cuenta con la arquitectura de validación y los scripts de diagnóstico listos para dar inicio a la Fase 1 de pruebas.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2. Principio Rector de Confidencialidad: Exclusión Absoluta de Bandas Salariales</w:t>
      </w:r>
    </w:p>
    <w:p>
      <w:pPr>
        <w:spacing w:after="120" w:line="276" w:lineRule="auto"/>
      </w:pPr>
      <w:r>
        <w:t xml:space="preserve">Por expresa instrucción de la Dirección y en estricto cumplimiento de las políticas de Prevención de Fuga de Datos (DLP) y confidencialidad estratégica de compensaciones, </w:t>
      </w:r>
      <w:r>
        <w:rPr>
          <w:b/>
          <w:color w:val="C53030"/>
        </w:rPr>
        <w:t>QUEDA TERMINANTEMENTE PROHIBIDO TRANSMITIR, EXPONER O REGISTRAR CUALQUIER DATO SALARIAL EN HUMAND.</w:t>
      </w:r>
    </w:p>
    <w:p>
      <w:pPr>
        <w:spacing w:after="120" w:line="276" w:lineRule="auto"/>
      </w:pPr>
      <w:r>
        <w:t>Esta directiva establece un perímetro de seguridad infranqueable entre ambos sistemas:</w:t>
      </w:r>
    </w:p>
    <w:p>
      <w:pPr>
        <w:pStyle w:val="ListBullet"/>
        <w:spacing w:after="60"/>
      </w:pPr>
      <w:r>
        <w:rPr>
          <w:b/>
        </w:rPr>
        <w:t xml:space="preserve">Aislamiento Estricto en TH: </w:t>
      </w:r>
      <w:r>
        <w:t>El módulo de Tabulador Salarial (bandas del 80% al 120%, medianas de referencia, percentiles, compa-ratio y salarios brutos/netos) residirá única y exclusivamente dentro de la base de datos interna de la Aplicación TH (PostgreSQL / InsForge).</w:t>
      </w:r>
    </w:p>
    <w:p>
      <w:pPr>
        <w:pStyle w:val="ListBullet"/>
        <w:spacing w:after="60"/>
      </w:pPr>
      <w:r>
        <w:rPr>
          <w:b/>
        </w:rPr>
        <w:t xml:space="preserve">Filtrado en el Motor de Sincronización: </w:t>
      </w:r>
      <w:r>
        <w:t>El adaptador de transformación descartará activamente cualquier atributo de compensación antes de construir los payloads JSON enviados a los endpoints de Humand.</w:t>
      </w:r>
    </w:p>
    <w:p>
      <w:pPr>
        <w:pStyle w:val="ListBullet"/>
        <w:spacing w:after="120"/>
      </w:pPr>
      <w:r>
        <w:rPr>
          <w:b/>
        </w:rPr>
        <w:t xml:space="preserve">Omisión de Campos en Perfil: </w:t>
      </w:r>
      <w:r>
        <w:t>No se creará ni vinculará ningún Profile Field dinámico relacionado a 'Banda Salarial', 'Nivel Salarial' o 'Sueldo' en la instancia corporativa de Humand.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C5303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C53030"/>
                <w:sz w:val="20"/>
              </w:rPr>
              <w:t xml:space="preserve">CONTROL DE SEGURIDAD DLP: </w:t>
            </w:r>
            <w:r>
              <w:rPr>
                <w:rFonts w:ascii="Calibri" w:hAnsi="Calibri"/>
                <w:color w:val="2D3748"/>
                <w:sz w:val="19"/>
              </w:rPr>
              <w:t>Humand se utilizará exclusivamente para comunicación institucional, organigrama, trámites de ausencias y experiencia del empleado. Las decisiones de mérito, compensaciones y equidad interna son competencia exclusiva de la Dirección y la Gerencia de TH a través de la Aplicación TH.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3. Alcance de Datos Autorizados y Matriz de Sincronización</w:t>
      </w:r>
    </w:p>
    <w:p>
      <w:pPr>
        <w:spacing w:after="120" w:line="276" w:lineRule="auto"/>
      </w:pPr>
      <w:r>
        <w:t>A continuación se especifica la clasificación explícita de los datos organizacionales, diferenciando los campos autorizados para sincronización de aquellos sujetos a estricta exclusión: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Entidad TH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Campo en TH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Destino en Humand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Estado / Regla de Gobernanza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codigo_empleado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employeeInternalId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Identificador unívoco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documento_identidad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Profile Field (Cédula)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Campo informativo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nombres, apellidos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firstName, lastName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Sanitizado sin redundancias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email_corporativo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email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Canal oficial de acceso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telefono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phoneNumber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Formato telefónico E.164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fecha_ingreso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hiringDate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Formato ISO YYYY-MM-DD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di_supervisor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relationships (BOSS)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Genera subordinados aut.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Empleado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di_evaluador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relationships (REVIEWER)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Aprobador de trámites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Estructura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departamento, cargo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/departments, /job-positions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AUTORIZADO: Catálogos maestros</w:t>
            </w:r>
          </w:p>
        </w:tc>
      </w:tr>
      <w:tr>
        <w:tc>
          <w:tcPr>
            <w:tcW w:type="dxa" w:w="1872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53030"/>
                <w:sz w:val="16"/>
              </w:rPr>
              <w:t>Compensación</w:t>
            </w:r>
          </w:p>
        </w:tc>
        <w:tc>
          <w:tcPr>
            <w:tcW w:type="dxa" w:w="2448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53030"/>
                <w:sz w:val="16"/>
              </w:rPr>
              <w:t>tabulador_id, salario</w:t>
            </w:r>
          </w:p>
        </w:tc>
        <w:tc>
          <w:tcPr>
            <w:tcW w:type="dxa" w:w="2592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53030"/>
                <w:sz w:val="16"/>
              </w:rPr>
              <w:t>NO APLICA / EXCLUIDO</w:t>
            </w:r>
          </w:p>
        </w:tc>
        <w:tc>
          <w:tcPr>
            <w:tcW w:type="dxa" w:w="2448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53030"/>
                <w:sz w:val="16"/>
              </w:rPr>
              <w:t>BLOQUEO TOTAL DLP: Confidencial TH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4. Especificaciones Técnicas y Reglas de Oro de Humand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Header 'Basic' Obligatorio: </w:t>
      </w:r>
      <w:r>
        <w:rPr>
          <w:rFonts w:ascii="Calibri" w:hAnsi="Calibri"/>
          <w:color w:val="2D3748"/>
        </w:rPr>
        <w:t>La API Key se envía mediante 'Authorization: Basic {api_key}'. El envío de 'Bearer' produce error 401 API_KEY_NOT_PROVIDED.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Sincronización Silenciosa con PUT /users: </w:t>
      </w:r>
      <w:r>
        <w:rPr>
          <w:rFonts w:ascii="Calibri" w:hAnsi="Calibri"/>
          <w:color w:val="2D3748"/>
        </w:rPr>
        <w:t>El aprovisionamiento masivo se realiza con PUT /users. Este endpoint sobrescribe y NO envía correos automáticos al empleado, evitando el envío prematuro de cientos de correos de bienvenida (a diferencia de POST /users).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Actualización Incremental con PATCH: </w:t>
      </w:r>
      <w:r>
        <w:rPr>
          <w:rFonts w:ascii="Calibri" w:hAnsi="Calibri"/>
          <w:color w:val="2D3748"/>
        </w:rPr>
        <w:t>Para ajustes diarios (teléfono, correo, cambio de jefe), se emplea PATCH /users/{id}, modificando únicamente los campos transmitidos y preservando intactos los demás.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Esquemas de Paginación Diferenciados: </w:t>
      </w:r>
      <w:r>
        <w:rPr>
          <w:rFonts w:ascii="Calibri" w:hAnsi="Calibri"/>
          <w:color w:val="2D3748"/>
        </w:rPr>
        <w:t>/users se gestiona con limit (máx. 50) y offset; los catálogos organizacionales (/departments, /job-positions) se consultan con page y limit.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Políticas de Rate Limiting y Resiliencia: </w:t>
      </w:r>
      <w:r>
        <w:rPr>
          <w:rFonts w:ascii="Calibri" w:hAnsi="Calibri"/>
          <w:color w:val="2D3748"/>
        </w:rPr>
        <w:t>La API vigila la cuota mediante cabeceras RateLimit. En caso de HTTP 429, el motor ejecutará backoff exponencial respetando la cabecera Retry-After.</w:t>
      </w:r>
    </w:p>
    <w:p>
      <w:pPr>
        <w:spacing w:after="8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5. Fases del Plan de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Fase Operativa</w:t>
            </w:r>
          </w:p>
        </w:tc>
        <w:tc>
          <w:tcPr>
            <w:tcW w:type="dxa" w:w="5328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Alcance y Entregables Clave</w:t>
            </w:r>
          </w:p>
        </w:tc>
        <w:tc>
          <w:tcPr>
            <w:tcW w:type="dxa" w:w="1440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Duración Estimada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Fase 1: Diagnóstico y Sanity Check Inicial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Validación del apretón de manos (handshake) con la clave real contra /users/me, inspección de cabeceras de cuota y comprobación de permisos de lectura de la organización.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6"/>
              </w:rPr>
              <w:t>Día 1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Fase 2: Homologación de Catálogos Organizacionales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Extracción de Departamentos y Cargos desde TH y alta masiva en Humand (/departments/bulk y /job-positions/bulk). Creación de segmentaciones corporativas por Empresa y Sede.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6"/>
              </w:rPr>
              <w:t>Días 2 - 3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Fase 3: Construcción del Motor de Sincronización en TH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Despliegue del servicio seguro de transformación en el backend/Edge Functions. Implementación del filtro de exclusión de bandas salariales y cómputo de Hash SHA-256 para cambios incrementales.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6"/>
              </w:rPr>
              <w:t>Días 4 - 6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Fase 4: Desarrollo del Módulo de Integración en la Interfaz (UI)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Incorporación de una pantalla de administración en Aplicación TH con semáforo de conectividad, métricas de cuota, visualizador de discrepancias y botón de ejecución de Dry-Run.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6"/>
              </w:rPr>
              <w:t>Días 7 - 8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Fase 5: Aprovisionamiento Masivo Inicial (Batch Onboarding)</w:t>
            </w:r>
          </w:p>
        </w:tc>
        <w:tc>
          <w:tcPr>
            <w:tcW w:type="dxa" w:w="532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Carga inicial controlada en lotes de 20 empleados vía PUT /users. Verificación de creación del árbol jerárquico y relaciones BOSS/REVIEWER.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6"/>
              </w:rPr>
              <w:t>Días 9 - 10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Fase 6: Despliegue de Sincronización Incremental (Delta Sync)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Activación de sincronización periódica para altas, modificaciones vía PATCH y bajas formales (desactivación limpia con POST /deactivate y reasignación de subordinados).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6"/>
              </w:rPr>
              <w:t>Días 11 - 12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6. Matriz de Pruebas de Calidad y Criterios de Aceptación</w:t>
      </w:r>
    </w:p>
    <w:p>
      <w:pPr>
        <w:spacing w:after="120" w:line="276" w:lineRule="auto"/>
      </w:pPr>
      <w:r>
        <w:t>Para garantizar cero disrupciones y total integridad en producción, se ejecutará una batería de 7 pruebas secuenciales antes de habilitar la sincronización continua: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Prueba de Calidad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Método / Endpoint</w:t>
            </w:r>
          </w:p>
        </w:tc>
        <w:tc>
          <w:tcPr>
            <w:tcW w:type="dxa" w:w="302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Criterio de Aprobación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T1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Handshake &amp; Identidad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GET /users/me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HTTP 200. Retorna nombre y rol de la cuenta de integración.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Auditoría de Rate Limiting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Cabeceras HTTP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Lectura correcta de cuotas y tiempo de refresco en segundos.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T3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Lectura de Catálogos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/departments y /job-positions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Respuesta 200 con conteo de departamentos y puestos.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Piloto Unitario Ficticio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PUT + PATCH + POST /deactivate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Creación de 'EMP-TEST-PILOTO', actualización parcial y desactivación limpia con código 204.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T5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Simulación Dry-Run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Motor local en TH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Reporte de conciliación 100% verificado sin realizar llamadas mutativas a Humand.</w:t>
            </w:r>
          </w:p>
        </w:tc>
      </w:tr>
      <w:tr>
        <w:tc>
          <w:tcPr>
            <w:tcW w:type="dxa" w:w="864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C53030"/>
                <w:sz w:val="16"/>
              </w:rPr>
              <w:t>T6</w:t>
            </w:r>
          </w:p>
        </w:tc>
        <w:tc>
          <w:tcPr>
            <w:tcW w:type="dxa" w:w="2880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53030"/>
                <w:sz w:val="16"/>
              </w:rPr>
              <w:t>Aislamiento Salarial (DLP)</w:t>
            </w:r>
          </w:p>
        </w:tc>
        <w:tc>
          <w:tcPr>
            <w:tcW w:type="dxa" w:w="2592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C53030"/>
                <w:sz w:val="16"/>
              </w:rPr>
              <w:t>Inspección de Payloads y Perfil</w:t>
            </w:r>
          </w:p>
        </w:tc>
        <w:tc>
          <w:tcPr>
            <w:tcW w:type="dxa" w:w="3024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C53030"/>
                <w:sz w:val="16"/>
              </w:rPr>
              <w:t>Verificación estricta de ausencia total de datos de sueldo, banda o tabulador en Humand.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B365D"/>
                <w:sz w:val="16"/>
              </w:rPr>
              <w:t>T7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Batch Piloto Gradual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Lote inicial de 10 empleados reales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D3748"/>
                <w:sz w:val="16"/>
              </w:rPr>
              <w:t>Aprovisionamiento exitoso sin envío de correos y con jerarquías enlazadas.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7. Seguridad de Credenciales y Plan de Contingencia</w:t>
      </w:r>
    </w:p>
    <w:p>
      <w:pPr>
        <w:spacing w:after="120" w:line="276" w:lineRule="auto"/>
      </w:pPr>
      <w:r>
        <w:t>Para blindar la operación, se adoptan los siguientes controles preventivos de ciberseguridad: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Almacenamiento Seguro de la API Key: </w:t>
      </w:r>
      <w:r>
        <w:rPr>
          <w:rFonts w:ascii="Calibri" w:hAnsi="Calibri"/>
          <w:color w:val="2D3748"/>
        </w:rPr>
        <w:t>La clave residirá exclusivamente en variables de entorno del servidor / Secrets de InsForge, jamás en el frontend ni en repositorios de código.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Control de Desactivación de Empleados (Offboarding): </w:t>
      </w:r>
      <w:r>
        <w:rPr>
          <w:rFonts w:ascii="Calibri" w:hAnsi="Calibri"/>
          <w:color w:val="2D3748"/>
        </w:rPr>
        <w:t>Cuando un empleado cambie a estado INACTIVO en TH, la API de Humand ejecutará POST /users/{id}/deactivate especificando motivo formal y reasignando automáticamente a sus subordinados a un nuevo supervisor para evitar orfandad en el organigrama.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</w:rPr>
        <w:t xml:space="preserve">Registro de Auditoría Transaccional: </w:t>
      </w:r>
      <w:r>
        <w:rPr>
          <w:rFonts w:ascii="Calibri" w:hAnsi="Calibri"/>
          <w:color w:val="2D3748"/>
        </w:rPr>
        <w:t>Cada operación de sincronización almacenará en la base de datos interna la fecha/hora, el ID del empleado afectado, el hash SHA-256 del registro y el código HTTP de respuesta.</w:t>
      </w:r>
    </w:p>
    <w:p>
      <w:pPr>
        <w:spacing w:after="12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8. Conclusiones y Próximos Pasos Inmediatos</w:t>
      </w:r>
    </w:p>
    <w:p>
      <w:pPr>
        <w:spacing w:after="160" w:line="276" w:lineRule="auto"/>
      </w:pPr>
      <w:r>
        <w:t>El presente plan garantiza una implementación estructurada, auditada y plenamente alineada con la política de cero exposición salarial hacia Humand. Se recomienda iniciar de inmediato con los siguientes hitos operativos:</w:t>
      </w:r>
    </w:p>
    <w:p>
      <w:pPr>
        <w:pStyle w:val="ListBullet"/>
        <w:spacing w:after="60"/>
      </w:pPr>
      <w:r>
        <w:rPr>
          <w:b/>
        </w:rPr>
        <w:t xml:space="preserve">Paso Inmediato 1: </w:t>
      </w:r>
      <w:r>
        <w:t xml:space="preserve">Ejecución del script de diagnóstico </w:t>
      </w:r>
      <w:r>
        <w:rPr>
          <w:rFonts w:ascii="Consolas" w:hAnsi="Consolas"/>
        </w:rPr>
        <w:t>scripts/verify_humand_integration.py</w:t>
      </w:r>
      <w:r>
        <w:t xml:space="preserve"> ingresando la API Key en modo seguro para certificar la prueba T1 (Handshake) y T2 (Rate Limits).</w:t>
      </w:r>
    </w:p>
    <w:p>
      <w:pPr>
        <w:pStyle w:val="ListBullet"/>
        <w:spacing w:after="60"/>
      </w:pPr>
      <w:r>
        <w:rPr>
          <w:b/>
        </w:rPr>
        <w:t xml:space="preserve">Paso Inmediato 2: </w:t>
      </w:r>
      <w:r>
        <w:t>Construcción del componente UI de Sincronización en la Aplicación TH, dotando al equipo de Talento Humano del panel de supervisión y botón de simulación previa (Dry-Run).</w:t>
      </w:r>
    </w:p>
    <w:p>
      <w:pPr>
        <w:pStyle w:val="ListBullet"/>
        <w:spacing w:after="280"/>
      </w:pPr>
      <w:r>
        <w:rPr>
          <w:b/>
        </w:rPr>
        <w:t xml:space="preserve">Paso Inmediato 3: </w:t>
      </w:r>
      <w:r>
        <w:t>Sincronización inicial de Catálogos Maestros (Departamentos y Cargos) para preparar la estructura base de la organización en Humand.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none"/>
          <w:bottom w:val="single" w:sz="0" w:space="0" w:color="FFFFFF"/>
          <w:right w:val="none"/>
          <w:insideH w:val="single" w:sz="0" w:space="0" w:color="FFFFFF"/>
          <w:insideV w:val="none"/>
        </w:tblBorders>
      </w:tblPr>
      <w:tblGrid>
        <w:gridCol w:w="4680"/>
        <w:gridCol w:w="4680"/>
      </w:tblGrid>
      <w:tr>
        <w:tc>
          <w:tcPr>
            <w:tcW w:type="dxa" w:w="4608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color w:val="718096"/>
              </w:rPr>
              <w:t>_____________________________________</w:t>
              <w:br/>
            </w:r>
            <w:r>
              <w:rPr>
                <w:rFonts w:ascii="Calibri" w:hAnsi="Calibri"/>
                <w:b/>
                <w:color w:val="1B365D"/>
                <w:sz w:val="19"/>
              </w:rPr>
              <w:t>Líder de Sistemas y Arquitectura</w:t>
              <w:br/>
            </w:r>
            <w:r>
              <w:rPr>
                <w:rFonts w:ascii="Calibri" w:hAnsi="Calibri"/>
                <w:color w:val="718096"/>
                <w:sz w:val="17"/>
              </w:rPr>
              <w:t>Dirección de Sistemas y Tecnología</w:t>
            </w:r>
          </w:p>
        </w:tc>
        <w:tc>
          <w:tcPr>
            <w:tcW w:type="dxa" w:w="4608"/>
            <w:shd w:fill="EDF2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color w:val="718096"/>
              </w:rPr>
              <w:t>_____________________________________</w:t>
              <w:br/>
            </w:r>
            <w:r>
              <w:rPr>
                <w:rFonts w:ascii="Calibri" w:hAnsi="Calibri"/>
                <w:b/>
                <w:color w:val="1B365D"/>
                <w:sz w:val="19"/>
              </w:rPr>
              <w:t>Gerente Corporativo</w:t>
              <w:br/>
            </w:r>
            <w:r>
              <w:rPr>
                <w:rFonts w:ascii="Calibri" w:hAnsi="Calibri"/>
                <w:color w:val="718096"/>
                <w:sz w:val="17"/>
              </w:rPr>
              <w:t>Gerencia de Talento Humano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