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12461019</w:t>
      </w:r>
    </w:p>
    <w:p>
      <w:r>
        <w:t>Location: Bloomsburg, Pennsylvania</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