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Life Sciences ,  LIMS Job</w:t>
      </w:r>
    </w:p>
    <w:p>
      <w:r>
        <w:t>Employer Name: Hire IT People LLC</w:t>
      </w:r>
    </w:p>
    <w:p>
      <w:r>
        <w:t>SpiderID: 12510875</w:t>
      </w:r>
    </w:p>
    <w:p>
      <w:r>
        <w:t>Location: Collegeville, PA, Pennsylvania</w:t>
      </w:r>
    </w:p>
    <w:p>
      <w:r>
        <w:t>Date Posted: 5/9/2022</w:t>
      </w:r>
    </w:p>
    <w:p>
      <w:r>
        <w:t xml:space="preserve">Wage: </w:t>
      </w:r>
    </w:p>
    <w:p>
      <w:r>
        <w:t>Category: Information Technology</w:t>
      </w:r>
    </w:p>
    <w:p>
      <w:r>
        <w:t xml:space="preserve">Job Code: </w:t>
      </w:r>
    </w:p>
    <w:p>
      <w:r>
        <w:t>Number Of Openings: 1</w:t>
      </w:r>
    </w:p>
    <w:p>
      <w:r>
        <w:t>Detailed Job Description:</w:t>
        <w:br/>
        <w:br/>
        <w:t>Experience of GxP laboratory environments.Qualificationvalidation of laboratory instrumentation Tech hardwaresoftware. Extensive knowledge on LIMS Products and its business usage. Perform detailed data gathering of lab applications and systems documentation, business processes and technical solutions.Engage with the business and instrument vendors with respect to the latest patchesfixesmodules. Should be involved in planning meetings and workshops as on when necessary. Strong domain fundamental</w:t>
        <w:br/>
        <w:br/>
        <w:t>Top 3 responsibilities you would expect the Subcon to shoulder and execute:</w:t>
        <w:br/>
        <w:br/>
        <w:t>Independent analysis of issues for LabWare LIMS and data flow in upstream and downstream systems along with deployment of patches, releases in multiple environment as per client releasedeployment process</w:t>
        <w:br/>
        <w:br/>
        <w:t>Strong domain fundamentals on converting a business function to a technical solution.</w:t>
        <w:br/>
        <w:br/>
        <w:t>Effective communication with all site business SMEs and vital stakeholders.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