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Smart-Yield F2C</w:t>
      </w:r>
    </w:p>
    <w:p>
      <w:pPr>
        <w:spacing w:after="100"/>
        <w:jc w:val="center"/>
      </w:pPr>
      <w:r>
        <w:rPr>
          <w:b/>
          <w:bCs/>
          <w:sz w:val="26"/>
          <w:szCs w:val="26"/>
        </w:rPr>
        <w:t xml:space="preserve">Master Prototype Handoff Document</w:t>
      </w:r>
    </w:p>
    <w:p>
      <w:pPr>
        <w:spacing w:after="400"/>
        <w:jc w:val="center"/>
      </w:pPr>
      <w:r>
        <w:rPr>
          <w:i/>
          <w:iCs/>
          <w:sz w:val="22"/>
          <w:szCs w:val="22"/>
        </w:rPr>
        <w:t xml:space="preserve">Self-contained — hand this file to any AI/IDE with zero prior context</w:t>
      </w:r>
    </w:p>
    <w:p>
      <w:pPr>
        <w:shd w:fill="FFF6D9" w:val="clear"/>
        <w:spacing w:after="200" w:before="100"/>
      </w:pPr>
      <w:r>
        <w:rPr>
          <w:i/>
          <w:iCs/>
          <w:sz w:val="20"/>
          <w:szCs w:val="20"/>
        </w:rPr>
        <w:t xml:space="preserve">HOW TO USE THIS FILE: Attach/paste this entire document as the first message to any AI assistant (Claude, ChatGPT, Cursor, Antigravity IDE, etc.) with a prompt like: "Read this document fully, then build the working prototype starting with Module 1, using the tech stack in Section 9." Everything needed — problem, solution, architecture, data, formulas, UI style, build order — is below. You will not need to re-explain anything.</w:t>
      </w:r>
    </w:p>
    <w:p>
      <w:pPr>
        <w:pStyle w:val="Heading1"/>
        <w:spacing w:after="150" w:before="300"/>
      </w:pPr>
      <w:r>
        <w:t xml:space="preserve">0. Event &amp; Team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6739"/>
      </w:tblGrid>
      <w:tr>
        <w:tc>
          <w:tcPr>
            <w:tcW w:type="dxa" w:w="2621"/>
            <w:shd w:fill="D9E8DD"/>
            <w:tcMar>
              <w:top w:type="dxa" w:w="80"/>
              <w:left w:type="dxa" w:w="100"/>
              <w:bottom w:type="dxa" w:w="80"/>
              <w:right w:type="dxa" w:w="100"/>
            </w:tcMar>
          </w:tcPr>
          <w:p>
            <w:r>
              <w:rPr>
                <w:b/>
                <w:bCs/>
                <w:sz w:val="20"/>
                <w:szCs w:val="20"/>
              </w:rPr>
              <w:t xml:space="preserve">Field</w:t>
            </w:r>
          </w:p>
        </w:tc>
        <w:tc>
          <w:tcPr>
            <w:tcW w:type="dxa" w:w="6739"/>
            <w:shd w:fill="D9E8DD"/>
            <w:tcMar>
              <w:top w:type="dxa" w:w="80"/>
              <w:left w:type="dxa" w:w="100"/>
              <w:bottom w:type="dxa" w:w="80"/>
              <w:right w:type="dxa" w:w="100"/>
            </w:tcMar>
          </w:tcPr>
          <w:p>
            <w:r>
              <w:rPr>
                <w:b/>
                <w:bCs/>
                <w:sz w:val="20"/>
                <w:szCs w:val="20"/>
              </w:rPr>
              <w:t xml:space="preserve">Value</w:t>
            </w:r>
          </w:p>
        </w:tc>
      </w:tr>
      <w:tr>
        <w:tc>
          <w:tcPr>
            <w:tcW w:type="dxa" w:w="2621"/>
            <w:tcMar>
              <w:top w:type="dxa" w:w="80"/>
              <w:left w:type="dxa" w:w="100"/>
              <w:bottom w:type="dxa" w:w="80"/>
              <w:right w:type="dxa" w:w="100"/>
            </w:tcMar>
          </w:tcPr>
          <w:p>
            <w:r>
              <w:rPr>
                <w:b w:val="false"/>
                <w:bCs w:val="false"/>
                <w:sz w:val="20"/>
                <w:szCs w:val="20"/>
              </w:rPr>
              <w:t xml:space="preserve">Problem Statement ID</w:t>
            </w:r>
          </w:p>
        </w:tc>
        <w:tc>
          <w:tcPr>
            <w:tcW w:type="dxa" w:w="6739"/>
            <w:tcMar>
              <w:top w:type="dxa" w:w="80"/>
              <w:left w:type="dxa" w:w="100"/>
              <w:bottom w:type="dxa" w:w="80"/>
              <w:right w:type="dxa" w:w="100"/>
            </w:tcMar>
          </w:tcPr>
          <w:p>
            <w:r>
              <w:rPr>
                <w:b w:val="false"/>
                <w:bCs w:val="false"/>
                <w:sz w:val="20"/>
                <w:szCs w:val="20"/>
              </w:rPr>
              <w:t xml:space="preserve">26033</w:t>
            </w:r>
          </w:p>
        </w:tc>
      </w:tr>
      <w:tr>
        <w:tc>
          <w:tcPr>
            <w:tcW w:type="dxa" w:w="2621"/>
            <w:tcMar>
              <w:top w:type="dxa" w:w="80"/>
              <w:left w:type="dxa" w:w="100"/>
              <w:bottom w:type="dxa" w:w="80"/>
              <w:right w:type="dxa" w:w="100"/>
            </w:tcMar>
          </w:tcPr>
          <w:p>
            <w:r>
              <w:rPr>
                <w:b w:val="false"/>
                <w:bCs w:val="false"/>
                <w:sz w:val="20"/>
                <w:szCs w:val="20"/>
              </w:rPr>
              <w:t xml:space="preserve">Problem Statement Title</w:t>
            </w:r>
          </w:p>
        </w:tc>
        <w:tc>
          <w:tcPr>
            <w:tcW w:type="dxa" w:w="6739"/>
            <w:tcMar>
              <w:top w:type="dxa" w:w="80"/>
              <w:left w:type="dxa" w:w="100"/>
              <w:bottom w:type="dxa" w:w="80"/>
              <w:right w:type="dxa" w:w="100"/>
            </w:tcMar>
          </w:tcPr>
          <w:p>
            <w:r>
              <w:rPr>
                <w:b w:val="false"/>
                <w:bCs w:val="false"/>
                <w:sz w:val="20"/>
                <w:szCs w:val="20"/>
              </w:rPr>
              <w:t xml:space="preserve">Multiple intermediaries reduce farmers' earnings and increase consumer prices</w:t>
            </w:r>
          </w:p>
        </w:tc>
      </w:tr>
      <w:tr>
        <w:tc>
          <w:tcPr>
            <w:tcW w:type="dxa" w:w="2621"/>
            <w:tcMar>
              <w:top w:type="dxa" w:w="80"/>
              <w:left w:type="dxa" w:w="100"/>
              <w:bottom w:type="dxa" w:w="80"/>
              <w:right w:type="dxa" w:w="100"/>
            </w:tcMar>
          </w:tcPr>
          <w:p>
            <w:r>
              <w:rPr>
                <w:b w:val="false"/>
                <w:bCs w:val="false"/>
                <w:sz w:val="20"/>
                <w:szCs w:val="20"/>
              </w:rPr>
              <w:t xml:space="preserve">Theme</w:t>
            </w:r>
          </w:p>
        </w:tc>
        <w:tc>
          <w:tcPr>
            <w:tcW w:type="dxa" w:w="6739"/>
            <w:tcMar>
              <w:top w:type="dxa" w:w="80"/>
              <w:left w:type="dxa" w:w="100"/>
              <w:bottom w:type="dxa" w:w="80"/>
              <w:right w:type="dxa" w:w="100"/>
            </w:tcMar>
          </w:tcPr>
          <w:p>
            <w:r>
              <w:rPr>
                <w:b w:val="false"/>
                <w:bCs w:val="false"/>
                <w:sz w:val="20"/>
                <w:szCs w:val="20"/>
              </w:rPr>
              <w:t xml:space="preserve">Agriculture, FoodTech &amp; Rural Development</w:t>
            </w:r>
          </w:p>
        </w:tc>
      </w:tr>
      <w:tr>
        <w:tc>
          <w:tcPr>
            <w:tcW w:type="dxa" w:w="2621"/>
            <w:tcMar>
              <w:top w:type="dxa" w:w="80"/>
              <w:left w:type="dxa" w:w="100"/>
              <w:bottom w:type="dxa" w:w="80"/>
              <w:right w:type="dxa" w:w="100"/>
            </w:tcMar>
          </w:tcPr>
          <w:p>
            <w:r>
              <w:rPr>
                <w:b w:val="false"/>
                <w:bCs w:val="false"/>
                <w:sz w:val="20"/>
                <w:szCs w:val="20"/>
              </w:rPr>
              <w:t xml:space="preserve">PS Category</w:t>
            </w:r>
          </w:p>
        </w:tc>
        <w:tc>
          <w:tcPr>
            <w:tcW w:type="dxa" w:w="6739"/>
            <w:tcMar>
              <w:top w:type="dxa" w:w="80"/>
              <w:left w:type="dxa" w:w="100"/>
              <w:bottom w:type="dxa" w:w="80"/>
              <w:right w:type="dxa" w:w="100"/>
            </w:tcMar>
          </w:tcPr>
          <w:p>
            <w:r>
              <w:rPr>
                <w:b w:val="false"/>
                <w:bCs w:val="false"/>
                <w:sz w:val="20"/>
                <w:szCs w:val="20"/>
              </w:rPr>
              <w:t xml:space="preserve">Software</w:t>
            </w:r>
          </w:p>
        </w:tc>
      </w:tr>
      <w:tr>
        <w:tc>
          <w:tcPr>
            <w:tcW w:type="dxa" w:w="2621"/>
            <w:tcMar>
              <w:top w:type="dxa" w:w="80"/>
              <w:left w:type="dxa" w:w="100"/>
              <w:bottom w:type="dxa" w:w="80"/>
              <w:right w:type="dxa" w:w="100"/>
            </w:tcMar>
          </w:tcPr>
          <w:p>
            <w:r>
              <w:rPr>
                <w:b w:val="false"/>
                <w:bCs w:val="false"/>
                <w:sz w:val="20"/>
                <w:szCs w:val="20"/>
              </w:rPr>
              <w:t xml:space="preserve">Team ID</w:t>
            </w:r>
          </w:p>
        </w:tc>
        <w:tc>
          <w:tcPr>
            <w:tcW w:type="dxa" w:w="6739"/>
            <w:tcMar>
              <w:top w:type="dxa" w:w="80"/>
              <w:left w:type="dxa" w:w="100"/>
              <w:bottom w:type="dxa" w:w="80"/>
              <w:right w:type="dxa" w:w="100"/>
            </w:tcMar>
          </w:tcPr>
          <w:p>
            <w:r>
              <w:rPr>
                <w:b w:val="false"/>
                <w:bCs w:val="false"/>
                <w:sz w:val="20"/>
                <w:szCs w:val="20"/>
              </w:rPr>
              <w:t xml:space="preserve">167877</w:t>
            </w:r>
          </w:p>
        </w:tc>
      </w:tr>
      <w:tr>
        <w:tc>
          <w:tcPr>
            <w:tcW w:type="dxa" w:w="2621"/>
            <w:tcMar>
              <w:top w:type="dxa" w:w="80"/>
              <w:left w:type="dxa" w:w="100"/>
              <w:bottom w:type="dxa" w:w="80"/>
              <w:right w:type="dxa" w:w="100"/>
            </w:tcMar>
          </w:tcPr>
          <w:p>
            <w:r>
              <w:rPr>
                <w:b w:val="false"/>
                <w:bCs w:val="false"/>
                <w:sz w:val="20"/>
                <w:szCs w:val="20"/>
              </w:rPr>
              <w:t xml:space="preserve">Team Name</w:t>
            </w:r>
          </w:p>
        </w:tc>
        <w:tc>
          <w:tcPr>
            <w:tcW w:type="dxa" w:w="6739"/>
            <w:tcMar>
              <w:top w:type="dxa" w:w="80"/>
              <w:left w:type="dxa" w:w="100"/>
              <w:bottom w:type="dxa" w:w="80"/>
              <w:right w:type="dxa" w:w="100"/>
            </w:tcMar>
          </w:tcPr>
          <w:p>
            <w:r>
              <w:rPr>
                <w:b w:val="false"/>
                <w:bCs w:val="false"/>
                <w:sz w:val="20"/>
                <w:szCs w:val="20"/>
              </w:rPr>
              <w:t xml:space="preserve">SPARXGENZ</w:t>
            </w:r>
          </w:p>
        </w:tc>
      </w:tr>
      <w:tr>
        <w:tc>
          <w:tcPr>
            <w:tcW w:type="dxa" w:w="2621"/>
            <w:tcMar>
              <w:top w:type="dxa" w:w="80"/>
              <w:left w:type="dxa" w:w="100"/>
              <w:bottom w:type="dxa" w:w="80"/>
              <w:right w:type="dxa" w:w="100"/>
            </w:tcMar>
          </w:tcPr>
          <w:p>
            <w:r>
              <w:rPr>
                <w:b w:val="false"/>
                <w:bCs w:val="false"/>
                <w:sz w:val="20"/>
                <w:szCs w:val="20"/>
              </w:rPr>
              <w:t xml:space="preserve">Solution Name</w:t>
            </w:r>
          </w:p>
        </w:tc>
        <w:tc>
          <w:tcPr>
            <w:tcW w:type="dxa" w:w="6739"/>
            <w:tcMar>
              <w:top w:type="dxa" w:w="80"/>
              <w:left w:type="dxa" w:w="100"/>
              <w:bottom w:type="dxa" w:w="80"/>
              <w:right w:type="dxa" w:w="100"/>
            </w:tcMar>
          </w:tcPr>
          <w:p>
            <w:r>
              <w:rPr>
                <w:b w:val="false"/>
                <w:bCs w:val="false"/>
                <w:sz w:val="20"/>
                <w:szCs w:val="20"/>
              </w:rPr>
              <w:t xml:space="preserve">Smart-Yield F2C — AI-Guided Direct Farmer-to-Consumer Digital Marketplace</w:t>
            </w:r>
          </w:p>
        </w:tc>
      </w:tr>
    </w:tbl>
    <w:p>
      <w:pPr>
        <w:pStyle w:val="Heading1"/>
        <w:spacing w:after="150" w:before="300"/>
      </w:pPr>
      <w:r>
        <w:t xml:space="preserve">1. Problem Statement</w:t>
      </w:r>
    </w:p>
    <w:p>
      <w:pPr>
        <w:spacing w:after="150"/>
      </w:pPr>
      <w:r>
        <w:t xml:space="preserve">Multiple intermediaries in the agricultural supply chain — commission agents (Arhatiyas), wholesalers, distributors, and retailers — significantly reduce the income farmers earn while inflating the final price paid by consumers. Farmers typically receive only 25–40% of the final retail price. Lack of price transparency forces distress selling, especially for perishables, and consumers pay inflated prices due to markups compounding across 3 to 5 intermediary layers. Significant produce is wasted due to poor logistics coordination and the absence of direct buyer access for farmers.</w:t>
      </w:r>
    </w:p>
    <w:p>
      <w:pPr>
        <w:pStyle w:val="Heading1"/>
        <w:spacing w:after="150" w:before="300"/>
      </w:pPr>
      <w:r>
        <w:t xml:space="preserve">2. Solution Concept</w:t>
      </w:r>
    </w:p>
    <w:p>
      <w:pPr>
        <w:spacing w:after="150"/>
      </w:pPr>
      <w:r>
        <w:t xml:space="preserve">Smart-Yield F2C is an AI-guided, direct farmer-to-consumer/business digital marketplace. Instead of a basic e-commerce app where farmers guess their prices, it acts as an Intelligent Autonomous Exchange: the farmer lists their crop, and an AI Pricing Engine instantly recommends a protected, floor-level price that guarantees profit for the farmer while still beating traditional retail prices for the consumer — cutting out 3 to 5 layers of brokers entirely.</w:t>
      </w:r>
    </w:p>
    <w:p>
      <w:pPr>
        <w:pStyle w:val="Heading2"/>
        <w:spacing w:after="100" w:before="200"/>
      </w:pPr>
      <w:r>
        <w:t xml:space="preserve">2.1 The Six Core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3931"/>
        <w:gridCol w:w="3931"/>
      </w:tblGrid>
      <w:tr>
        <w:tc>
          <w:tcPr>
            <w:tcW w:type="dxa" w:w="1498"/>
            <w:shd w:fill="D9E8DD"/>
            <w:tcMar>
              <w:top w:type="dxa" w:w="80"/>
              <w:left w:type="dxa" w:w="100"/>
              <w:bottom w:type="dxa" w:w="80"/>
              <w:right w:type="dxa" w:w="100"/>
            </w:tcMar>
          </w:tcPr>
          <w:p>
            <w:r>
              <w:rPr>
                <w:b/>
                <w:bCs/>
                <w:sz w:val="20"/>
                <w:szCs w:val="20"/>
              </w:rPr>
              <w:t xml:space="preserve">#</w:t>
            </w:r>
          </w:p>
        </w:tc>
        <w:tc>
          <w:tcPr>
            <w:tcW w:type="dxa" w:w="3931"/>
            <w:shd w:fill="D9E8DD"/>
            <w:tcMar>
              <w:top w:type="dxa" w:w="80"/>
              <w:left w:type="dxa" w:w="100"/>
              <w:bottom w:type="dxa" w:w="80"/>
              <w:right w:type="dxa" w:w="100"/>
            </w:tcMar>
          </w:tcPr>
          <w:p>
            <w:r>
              <w:rPr>
                <w:b/>
                <w:bCs/>
                <w:sz w:val="20"/>
                <w:szCs w:val="20"/>
              </w:rPr>
              <w:t xml:space="preserve">Module</w:t>
            </w:r>
          </w:p>
        </w:tc>
        <w:tc>
          <w:tcPr>
            <w:tcW w:type="dxa" w:w="3931"/>
            <w:shd w:fill="D9E8DD"/>
            <w:tcMar>
              <w:top w:type="dxa" w:w="80"/>
              <w:left w:type="dxa" w:w="100"/>
              <w:bottom w:type="dxa" w:w="80"/>
              <w:right w:type="dxa" w:w="100"/>
            </w:tcMar>
          </w:tcPr>
          <w:p>
            <w:r>
              <w:rPr>
                <w:b/>
                <w:bCs/>
                <w:sz w:val="20"/>
                <w:szCs w:val="20"/>
              </w:rPr>
              <w:t xml:space="preserve">Purpose</w:t>
            </w:r>
          </w:p>
        </w:tc>
      </w:tr>
      <w:tr>
        <w:tc>
          <w:tcPr>
            <w:tcW w:type="dxa" w:w="1498"/>
            <w:tcMar>
              <w:top w:type="dxa" w:w="80"/>
              <w:left w:type="dxa" w:w="100"/>
              <w:bottom w:type="dxa" w:w="80"/>
              <w:right w:type="dxa" w:w="100"/>
            </w:tcMar>
          </w:tcPr>
          <w:p>
            <w:r>
              <w:rPr>
                <w:b w:val="false"/>
                <w:bCs w:val="false"/>
                <w:sz w:val="20"/>
                <w:szCs w:val="20"/>
              </w:rPr>
              <w:t xml:space="preserve">1</w:t>
            </w:r>
          </w:p>
        </w:tc>
        <w:tc>
          <w:tcPr>
            <w:tcW w:type="dxa" w:w="3931"/>
            <w:tcMar>
              <w:top w:type="dxa" w:w="80"/>
              <w:left w:type="dxa" w:w="100"/>
              <w:bottom w:type="dxa" w:w="80"/>
              <w:right w:type="dxa" w:w="100"/>
            </w:tcMar>
          </w:tcPr>
          <w:p>
            <w:r>
              <w:rPr>
                <w:b w:val="false"/>
                <w:bCs w:val="false"/>
                <w:sz w:val="20"/>
                <w:szCs w:val="20"/>
              </w:rPr>
              <w:t xml:space="preserve">AI-Guided Marketplace (Farmer Listing)</w:t>
            </w:r>
          </w:p>
        </w:tc>
        <w:tc>
          <w:tcPr>
            <w:tcW w:type="dxa" w:w="3931"/>
            <w:tcMar>
              <w:top w:type="dxa" w:w="80"/>
              <w:left w:type="dxa" w:w="100"/>
              <w:bottom w:type="dxa" w:w="80"/>
              <w:right w:type="dxa" w:w="100"/>
            </w:tcMar>
          </w:tcPr>
          <w:p>
            <w:r>
              <w:rPr>
                <w:b w:val="false"/>
                <w:bCs w:val="false"/>
                <w:sz w:val="20"/>
                <w:szCs w:val="20"/>
              </w:rPr>
              <w:t xml:space="preserve">Voice-enabled, multilingual listing creation; farmer lists crop, quantity, photos</w:t>
            </w:r>
          </w:p>
        </w:tc>
      </w:tr>
      <w:tr>
        <w:tc>
          <w:tcPr>
            <w:tcW w:type="dxa" w:w="1498"/>
            <w:tcMar>
              <w:top w:type="dxa" w:w="80"/>
              <w:left w:type="dxa" w:w="100"/>
              <w:bottom w:type="dxa" w:w="80"/>
              <w:right w:type="dxa" w:w="100"/>
            </w:tcMar>
          </w:tcPr>
          <w:p>
            <w:r>
              <w:rPr>
                <w:b w:val="false"/>
                <w:bCs w:val="false"/>
                <w:sz w:val="20"/>
                <w:szCs w:val="20"/>
              </w:rPr>
              <w:t xml:space="preserve">2</w:t>
            </w:r>
          </w:p>
        </w:tc>
        <w:tc>
          <w:tcPr>
            <w:tcW w:type="dxa" w:w="3931"/>
            <w:tcMar>
              <w:top w:type="dxa" w:w="80"/>
              <w:left w:type="dxa" w:w="100"/>
              <w:bottom w:type="dxa" w:w="80"/>
              <w:right w:type="dxa" w:w="100"/>
            </w:tcMar>
          </w:tcPr>
          <w:p>
            <w:r>
              <w:rPr>
                <w:b w:val="false"/>
                <w:bCs w:val="false"/>
                <w:sz w:val="20"/>
                <w:szCs w:val="20"/>
              </w:rPr>
              <w:t xml:space="preserve">Camera-Based Quality Grading</w:t>
            </w:r>
          </w:p>
        </w:tc>
        <w:tc>
          <w:tcPr>
            <w:tcW w:type="dxa" w:w="3931"/>
            <w:tcMar>
              <w:top w:type="dxa" w:w="80"/>
              <w:left w:type="dxa" w:w="100"/>
              <w:bottom w:type="dxa" w:w="80"/>
              <w:right w:type="dxa" w:w="100"/>
            </w:tcMar>
          </w:tcPr>
          <w:p>
            <w:r>
              <w:rPr>
                <w:b w:val="false"/>
                <w:bCs w:val="false"/>
                <w:sz w:val="20"/>
                <w:szCs w:val="20"/>
              </w:rPr>
              <w:t xml:space="preserve">Computer vision grades produce A/B/C to build buyer trust without manual inspection</w:t>
            </w:r>
          </w:p>
        </w:tc>
      </w:tr>
      <w:tr>
        <w:tc>
          <w:tcPr>
            <w:tcW w:type="dxa" w:w="1498"/>
            <w:tcMar>
              <w:top w:type="dxa" w:w="80"/>
              <w:left w:type="dxa" w:w="100"/>
              <w:bottom w:type="dxa" w:w="80"/>
              <w:right w:type="dxa" w:w="100"/>
            </w:tcMar>
          </w:tcPr>
          <w:p>
            <w:r>
              <w:rPr>
                <w:b w:val="false"/>
                <w:bCs w:val="false"/>
                <w:sz w:val="20"/>
                <w:szCs w:val="20"/>
              </w:rPr>
              <w:t xml:space="preserve">3</w:t>
            </w:r>
          </w:p>
        </w:tc>
        <w:tc>
          <w:tcPr>
            <w:tcW w:type="dxa" w:w="3931"/>
            <w:tcMar>
              <w:top w:type="dxa" w:w="80"/>
              <w:left w:type="dxa" w:w="100"/>
              <w:bottom w:type="dxa" w:w="80"/>
              <w:right w:type="dxa" w:w="100"/>
            </w:tcMar>
          </w:tcPr>
          <w:p>
            <w:r>
              <w:rPr>
                <w:b w:val="false"/>
                <w:bCs w:val="false"/>
                <w:sz w:val="20"/>
                <w:szCs w:val="20"/>
              </w:rPr>
              <w:t xml:space="preserve">Dynamic Fair-Value Pricing Engine</w:t>
            </w:r>
          </w:p>
        </w:tc>
        <w:tc>
          <w:tcPr>
            <w:tcW w:type="dxa" w:w="3931"/>
            <w:tcMar>
              <w:top w:type="dxa" w:w="80"/>
              <w:left w:type="dxa" w:w="100"/>
              <w:bottom w:type="dxa" w:w="80"/>
              <w:right w:type="dxa" w:w="100"/>
            </w:tcMar>
          </w:tcPr>
          <w:p>
            <w:r>
              <w:rPr>
                <w:b w:val="false"/>
                <w:bCs w:val="false"/>
                <w:sz w:val="20"/>
                <w:szCs w:val="20"/>
              </w:rPr>
              <w:t xml:space="preserve">ML module computes an Optimal Settlement Price (protected floor) from mandi data, shelf-life decay, weather, and transport cost</w:t>
            </w:r>
          </w:p>
        </w:tc>
      </w:tr>
      <w:tr>
        <w:tc>
          <w:tcPr>
            <w:tcW w:type="dxa" w:w="1498"/>
            <w:tcMar>
              <w:top w:type="dxa" w:w="80"/>
              <w:left w:type="dxa" w:w="100"/>
              <w:bottom w:type="dxa" w:w="80"/>
              <w:right w:type="dxa" w:w="100"/>
            </w:tcMar>
          </w:tcPr>
          <w:p>
            <w:r>
              <w:rPr>
                <w:b w:val="false"/>
                <w:bCs w:val="false"/>
                <w:sz w:val="20"/>
                <w:szCs w:val="20"/>
              </w:rPr>
              <w:t xml:space="preserve">4</w:t>
            </w:r>
          </w:p>
        </w:tc>
        <w:tc>
          <w:tcPr>
            <w:tcW w:type="dxa" w:w="3931"/>
            <w:tcMar>
              <w:top w:type="dxa" w:w="80"/>
              <w:left w:type="dxa" w:w="100"/>
              <w:bottom w:type="dxa" w:w="80"/>
              <w:right w:type="dxa" w:w="100"/>
            </w:tcMar>
          </w:tcPr>
          <w:p>
            <w:r>
              <w:rPr>
                <w:b w:val="false"/>
                <w:bCs w:val="false"/>
                <w:sz w:val="20"/>
                <w:szCs w:val="20"/>
              </w:rPr>
              <w:t xml:space="preserve">Buyer Marketplace &amp; Matching</w:t>
            </w:r>
          </w:p>
        </w:tc>
        <w:tc>
          <w:tcPr>
            <w:tcW w:type="dxa" w:w="3931"/>
            <w:tcMar>
              <w:top w:type="dxa" w:w="80"/>
              <w:left w:type="dxa" w:w="100"/>
              <w:bottom w:type="dxa" w:w="80"/>
              <w:right w:type="dxa" w:w="100"/>
            </w:tcMar>
          </w:tcPr>
          <w:p>
            <w:r>
              <w:rPr>
                <w:b w:val="false"/>
                <w:bCs w:val="false"/>
                <w:sz w:val="20"/>
                <w:szCs w:val="20"/>
              </w:rPr>
              <w:t xml:space="preserve">Retailers/consumers browse, filter, and purchase listings directly</w:t>
            </w:r>
          </w:p>
        </w:tc>
      </w:tr>
      <w:tr>
        <w:tc>
          <w:tcPr>
            <w:tcW w:type="dxa" w:w="1498"/>
            <w:tcMar>
              <w:top w:type="dxa" w:w="80"/>
              <w:left w:type="dxa" w:w="100"/>
              <w:bottom w:type="dxa" w:w="80"/>
              <w:right w:type="dxa" w:w="100"/>
            </w:tcMar>
          </w:tcPr>
          <w:p>
            <w:r>
              <w:rPr>
                <w:b w:val="false"/>
                <w:bCs w:val="false"/>
                <w:sz w:val="20"/>
                <w:szCs w:val="20"/>
              </w:rPr>
              <w:t xml:space="preserve">5</w:t>
            </w:r>
          </w:p>
        </w:tc>
        <w:tc>
          <w:tcPr>
            <w:tcW w:type="dxa" w:w="3931"/>
            <w:tcMar>
              <w:top w:type="dxa" w:w="80"/>
              <w:left w:type="dxa" w:w="100"/>
              <w:bottom w:type="dxa" w:w="80"/>
              <w:right w:type="dxa" w:w="100"/>
            </w:tcMar>
          </w:tcPr>
          <w:p>
            <w:r>
              <w:rPr>
                <w:b w:val="false"/>
                <w:bCs w:val="false"/>
                <w:sz w:val="20"/>
                <w:szCs w:val="20"/>
              </w:rPr>
              <w:t xml:space="preserve">Dual-Shield Escrow &amp; Payment</w:t>
            </w:r>
          </w:p>
        </w:tc>
        <w:tc>
          <w:tcPr>
            <w:tcW w:type="dxa" w:w="3931"/>
            <w:tcMar>
              <w:top w:type="dxa" w:w="80"/>
              <w:left w:type="dxa" w:w="100"/>
              <w:bottom w:type="dxa" w:w="80"/>
              <w:right w:type="dxa" w:w="100"/>
            </w:tcMar>
          </w:tcPr>
          <w:p>
            <w:r>
              <w:rPr>
                <w:b w:val="false"/>
                <w:bCs w:val="false"/>
                <w:sz w:val="20"/>
                <w:szCs w:val="20"/>
              </w:rPr>
              <w:t xml:space="preserve">UPI-integrated escrow locks funds at purchase; releases to farmer only after GPS+OTP delivery verification</w:t>
            </w:r>
          </w:p>
        </w:tc>
      </w:tr>
      <w:tr>
        <w:tc>
          <w:tcPr>
            <w:tcW w:type="dxa" w:w="1498"/>
            <w:tcMar>
              <w:top w:type="dxa" w:w="80"/>
              <w:left w:type="dxa" w:w="100"/>
              <w:bottom w:type="dxa" w:w="80"/>
              <w:right w:type="dxa" w:w="100"/>
            </w:tcMar>
          </w:tcPr>
          <w:p>
            <w:r>
              <w:rPr>
                <w:b w:val="false"/>
                <w:bCs w:val="false"/>
                <w:sz w:val="20"/>
                <w:szCs w:val="20"/>
              </w:rPr>
              <w:t xml:space="preserve">6</w:t>
            </w:r>
          </w:p>
        </w:tc>
        <w:tc>
          <w:tcPr>
            <w:tcW w:type="dxa" w:w="3931"/>
            <w:tcMar>
              <w:top w:type="dxa" w:w="80"/>
              <w:left w:type="dxa" w:w="100"/>
              <w:bottom w:type="dxa" w:w="80"/>
              <w:right w:type="dxa" w:w="100"/>
            </w:tcMar>
          </w:tcPr>
          <w:p>
            <w:r>
              <w:rPr>
                <w:b w:val="false"/>
                <w:bCs w:val="false"/>
                <w:sz w:val="20"/>
                <w:szCs w:val="20"/>
              </w:rPr>
              <w:t xml:space="preserve">Shared Logistics &amp; FPO Aggregation</w:t>
            </w:r>
          </w:p>
        </w:tc>
        <w:tc>
          <w:tcPr>
            <w:tcW w:type="dxa" w:w="3931"/>
            <w:tcMar>
              <w:top w:type="dxa" w:w="80"/>
              <w:left w:type="dxa" w:w="100"/>
              <w:bottom w:type="dxa" w:w="80"/>
              <w:right w:type="dxa" w:w="100"/>
            </w:tcMar>
          </w:tcPr>
          <w:p>
            <w:r>
              <w:rPr>
                <w:b w:val="false"/>
                <w:bCs w:val="false"/>
                <w:sz w:val="20"/>
                <w:szCs w:val="20"/>
              </w:rPr>
              <w:t xml:space="preserve">Pools smallholder produce via FPOs; shared transport reduces per-unit delivery cost</w:t>
            </w:r>
          </w:p>
        </w:tc>
      </w:tr>
    </w:tbl>
    <w:p>
      <w:pPr>
        <w:pStyle w:val="Heading2"/>
        <w:spacing w:after="100" w:before="200"/>
      </w:pPr>
      <w:r>
        <w:t xml:space="preserve">2.2 End-to-End Transaction Flow (use this exact sequence in the demo)</w:t>
      </w:r>
    </w:p>
    <w:p>
      <w:pPr>
        <w:pStyle w:val="ListParagraph"/>
        <w:numPr>
          <w:ilvl w:val="0"/>
          <w:numId w:val="2"/>
        </w:numPr>
        <w:spacing w:after="80"/>
      </w:pPr>
      <w:r>
        <w:t xml:space="preserve">1. Voice Input &amp; Harvest Listing — Farmer speaks or types to list harvested produce (crop, quantity)</w:t>
      </w:r>
    </w:p>
    <w:p>
      <w:pPr>
        <w:pStyle w:val="ListParagraph"/>
        <w:numPr>
          <w:ilvl w:val="0"/>
          <w:numId w:val="2"/>
        </w:numPr>
        <w:spacing w:after="80"/>
      </w:pPr>
      <w:r>
        <w:t xml:space="preserve">2. Computer Vision &amp; AI Analysis — App detects and classifies produce quality using AI</w:t>
      </w:r>
    </w:p>
    <w:p>
      <w:pPr>
        <w:pStyle w:val="ListParagraph"/>
        <w:numPr>
          <w:ilvl w:val="0"/>
          <w:numId w:val="2"/>
        </w:numPr>
        <w:spacing w:after="80"/>
      </w:pPr>
      <w:r>
        <w:t xml:space="preserve">3. Secure Payment (UPI) — Buyer purchases; fast, safe, cashless transaction captured into escrow</w:t>
      </w:r>
    </w:p>
    <w:p>
      <w:pPr>
        <w:pStyle w:val="ListParagraph"/>
        <w:numPr>
          <w:ilvl w:val="0"/>
          <w:numId w:val="2"/>
        </w:numPr>
        <w:spacing w:after="80"/>
      </w:pPr>
      <w:r>
        <w:t xml:space="preserve">4. Farm Crate Aggregation — Multiple farm crates consolidated at a central FPO hub</w:t>
      </w:r>
    </w:p>
    <w:p>
      <w:pPr>
        <w:pStyle w:val="ListParagraph"/>
        <w:numPr>
          <w:ilvl w:val="0"/>
          <w:numId w:val="2"/>
        </w:numPr>
        <w:spacing w:after="80"/>
      </w:pPr>
      <w:r>
        <w:t xml:space="preserve">5. GPS-Tracked Delivery — Real-time location tracking ensures safe delivery</w:t>
      </w:r>
    </w:p>
    <w:p>
      <w:pPr>
        <w:pStyle w:val="ListParagraph"/>
        <w:numPr>
          <w:ilvl w:val="0"/>
          <w:numId w:val="2"/>
        </w:numPr>
        <w:spacing w:after="80"/>
      </w:pPr>
      <w:r>
        <w:t xml:space="preserve">6. Instant Fund Settlement — Funds (e.g., ₹12,480) reach the farmer instantly upon verified delivery</w:t>
      </w:r>
    </w:p>
    <w:p>
      <w:pPr>
        <w:pStyle w:val="Heading1"/>
        <w:spacing w:after="150" w:before="300"/>
      </w:pPr>
      <w:r>
        <w:t xml:space="preserve">3. Feasibility &amp; Viability</w:t>
      </w:r>
    </w:p>
    <w:p>
      <w:pPr>
        <w:pStyle w:val="Heading2"/>
        <w:spacing w:after="100" w:before="200"/>
      </w:pPr>
      <w:r>
        <w:t xml:space="preserve">3.1 Feasibility — Technical &amp; Operational Foundations</w:t>
      </w:r>
    </w:p>
    <w:p>
      <w:pPr>
        <w:pStyle w:val="ListParagraph"/>
        <w:numPr>
          <w:ilvl w:val="0"/>
          <w:numId w:val="2"/>
        </w:numPr>
        <w:spacing w:after="80"/>
      </w:pPr>
      <w:r>
        <w:t xml:space="preserve">Tech Infrastructure: React/Flutter apps with Node.js/Django + PostgreSQL backend</w:t>
      </w:r>
    </w:p>
    <w:p>
      <w:pPr>
        <w:pStyle w:val="ListParagraph"/>
        <w:numPr>
          <w:ilvl w:val="0"/>
          <w:numId w:val="2"/>
        </w:numPr>
        <w:spacing w:after="80"/>
      </w:pPr>
      <w:r>
        <w:t xml:space="preserve">AI &amp; Market Data: price prediction via eNAM/Agmarknet APIs + camera-based A/B/C grading</w:t>
      </w:r>
    </w:p>
    <w:p>
      <w:pPr>
        <w:pStyle w:val="ListParagraph"/>
        <w:numPr>
          <w:ilvl w:val="0"/>
          <w:numId w:val="2"/>
        </w:numPr>
        <w:spacing w:after="80"/>
      </w:pPr>
      <w:r>
        <w:t xml:space="preserve">Rural Accessibility: offline-first design, SMS/IVR, and voice UI for farmers</w:t>
      </w:r>
    </w:p>
    <w:p>
      <w:pPr>
        <w:pStyle w:val="ListParagraph"/>
        <w:numPr>
          <w:ilvl w:val="0"/>
          <w:numId w:val="2"/>
        </w:numPr>
        <w:spacing w:after="80"/>
      </w:pPr>
      <w:r>
        <w:t xml:space="preserve">Secure Operations: UPI-integrated escrow and GPS+OTP delivery verification</w:t>
      </w:r>
    </w:p>
    <w:p>
      <w:pPr>
        <w:pStyle w:val="Heading2"/>
        <w:spacing w:after="100" w:before="200"/>
      </w:pPr>
      <w:r>
        <w:t xml:space="preserve">3.2 Viability — Economic Impact &amp; Scalability</w:t>
      </w:r>
    </w:p>
    <w:p>
      <w:pPr>
        <w:pStyle w:val="ListParagraph"/>
        <w:numPr>
          <w:ilvl w:val="0"/>
          <w:numId w:val="2"/>
        </w:numPr>
        <w:spacing w:after="80"/>
      </w:pPr>
      <w:r>
        <w:t xml:space="preserve">Economic Efficiency: fewer intermediaries and shared transportation reduce costs</w:t>
      </w:r>
    </w:p>
    <w:p>
      <w:pPr>
        <w:pStyle w:val="ListParagraph"/>
        <w:numPr>
          <w:ilvl w:val="0"/>
          <w:numId w:val="2"/>
        </w:numPr>
        <w:spacing w:after="80"/>
      </w:pPr>
      <w:r>
        <w:t xml:space="preserve">Market Expansion: direct B2B/B2C sales connect farmers with more buyers</w:t>
      </w:r>
    </w:p>
    <w:p>
      <w:pPr>
        <w:pStyle w:val="ListParagraph"/>
        <w:numPr>
          <w:ilvl w:val="0"/>
          <w:numId w:val="2"/>
        </w:numPr>
        <w:spacing w:after="80"/>
      </w:pPr>
      <w:r>
        <w:t xml:space="preserve">Scalable Growth: start local with FPOs, expand to retailers, then scale nationally</w:t>
      </w:r>
    </w:p>
    <w:p>
      <w:pPr>
        <w:pStyle w:val="Heading2"/>
        <w:spacing w:after="100" w:before="200"/>
      </w:pPr>
      <w:r>
        <w:t xml:space="preserve">3.3 Mitigation Strategies — Overcoming Field Obstacles</w:t>
      </w:r>
    </w:p>
    <w:p>
      <w:pPr>
        <w:pStyle w:val="ListParagraph"/>
        <w:numPr>
          <w:ilvl w:val="0"/>
          <w:numId w:val="2"/>
        </w:numPr>
        <w:spacing w:after="80"/>
      </w:pPr>
      <w:r>
        <w:t xml:space="preserve">Access Barriers: solve connectivity/literacy gaps via offline-first design + voice UI</w:t>
      </w:r>
    </w:p>
    <w:p>
      <w:pPr>
        <w:pStyle w:val="ListParagraph"/>
        <w:numPr>
          <w:ilvl w:val="0"/>
          <w:numId w:val="2"/>
        </w:numPr>
        <w:spacing w:after="80"/>
      </w:pPr>
      <w:r>
        <w:t xml:space="preserve">Quality &amp; Price Trust: AI grading combined with human checks; multi-source market data updates</w:t>
      </w:r>
    </w:p>
    <w:p>
      <w:pPr>
        <w:pStyle w:val="ListParagraph"/>
        <w:numPr>
          <w:ilvl w:val="0"/>
          <w:numId w:val="2"/>
        </w:numPr>
        <w:spacing w:after="80"/>
      </w:pPr>
      <w:r>
        <w:t xml:space="preserve">Trust &amp; Logistics: escrow/KYC builds trust; FPO-pooled transport handles perishables</w:t>
      </w:r>
    </w:p>
    <w:p>
      <w:pPr>
        <w:pStyle w:val="Heading1"/>
        <w:spacing w:after="150" w:before="300"/>
      </w:pPr>
      <w:r>
        <w:t xml:space="preserve">4. Impact &amp; Benefits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6739"/>
      </w:tblGrid>
      <w:tr>
        <w:tc>
          <w:tcPr>
            <w:tcW w:type="dxa" w:w="2621"/>
            <w:shd w:fill="D9E8DD"/>
            <w:tcMar>
              <w:top w:type="dxa" w:w="80"/>
              <w:left w:type="dxa" w:w="100"/>
              <w:bottom w:type="dxa" w:w="80"/>
              <w:right w:type="dxa" w:w="100"/>
            </w:tcMar>
          </w:tcPr>
          <w:p>
            <w:r>
              <w:rPr>
                <w:b/>
                <w:bCs/>
                <w:sz w:val="20"/>
                <w:szCs w:val="20"/>
              </w:rPr>
              <w:t xml:space="preserve">Stakeholder</w:t>
            </w:r>
          </w:p>
        </w:tc>
        <w:tc>
          <w:tcPr>
            <w:tcW w:type="dxa" w:w="6739"/>
            <w:shd w:fill="D9E8DD"/>
            <w:tcMar>
              <w:top w:type="dxa" w:w="80"/>
              <w:left w:type="dxa" w:w="100"/>
              <w:bottom w:type="dxa" w:w="80"/>
              <w:right w:type="dxa" w:w="100"/>
            </w:tcMar>
          </w:tcPr>
          <w:p>
            <w:r>
              <w:rPr>
                <w:b/>
                <w:bCs/>
                <w:sz w:val="20"/>
                <w:szCs w:val="20"/>
              </w:rPr>
              <w:t xml:space="preserve">Key Benefits</w:t>
            </w:r>
          </w:p>
        </w:tc>
      </w:tr>
      <w:tr>
        <w:tc>
          <w:tcPr>
            <w:tcW w:type="dxa" w:w="2621"/>
            <w:tcMar>
              <w:top w:type="dxa" w:w="80"/>
              <w:left w:type="dxa" w:w="100"/>
              <w:bottom w:type="dxa" w:w="80"/>
              <w:right w:type="dxa" w:w="100"/>
            </w:tcMar>
          </w:tcPr>
          <w:p>
            <w:r>
              <w:rPr>
                <w:b w:val="false"/>
                <w:bCs w:val="false"/>
                <w:sz w:val="20"/>
                <w:szCs w:val="20"/>
              </w:rPr>
              <w:t xml:space="preserve">Farmers &amp; FPOs</w:t>
            </w:r>
          </w:p>
        </w:tc>
        <w:tc>
          <w:tcPr>
            <w:tcW w:type="dxa" w:w="6739"/>
            <w:tcMar>
              <w:top w:type="dxa" w:w="80"/>
              <w:left w:type="dxa" w:w="100"/>
              <w:bottom w:type="dxa" w:w="80"/>
              <w:right w:type="dxa" w:w="100"/>
            </w:tcMar>
          </w:tcPr>
          <w:p>
            <w:r>
              <w:rPr>
                <w:b w:val="false"/>
                <w:bCs w:val="false"/>
                <w:sz w:val="20"/>
                <w:szCs w:val="20"/>
              </w:rPr>
              <w:t xml:space="preserve">Higher income via protected price floor; direct access to buyers; bulk transport; digital/financial inclusion</w:t>
            </w:r>
          </w:p>
        </w:tc>
      </w:tr>
      <w:tr>
        <w:tc>
          <w:tcPr>
            <w:tcW w:type="dxa" w:w="2621"/>
            <w:tcMar>
              <w:top w:type="dxa" w:w="80"/>
              <w:left w:type="dxa" w:w="100"/>
              <w:bottom w:type="dxa" w:w="80"/>
              <w:right w:type="dxa" w:w="100"/>
            </w:tcMar>
          </w:tcPr>
          <w:p>
            <w:r>
              <w:rPr>
                <w:b w:val="false"/>
                <w:bCs w:val="false"/>
                <w:sz w:val="20"/>
                <w:szCs w:val="20"/>
              </w:rPr>
              <w:t xml:space="preserve">Consumers</w:t>
            </w:r>
          </w:p>
        </w:tc>
        <w:tc>
          <w:tcPr>
            <w:tcW w:type="dxa" w:w="6739"/>
            <w:tcMar>
              <w:top w:type="dxa" w:w="80"/>
              <w:left w:type="dxa" w:w="100"/>
              <w:bottom w:type="dxa" w:w="80"/>
              <w:right w:type="dxa" w:w="100"/>
            </w:tcMar>
          </w:tcPr>
          <w:p>
            <w:r>
              <w:rPr>
                <w:b w:val="false"/>
                <w:bCs w:val="false"/>
                <w:sz w:val="20"/>
                <w:szCs w:val="20"/>
              </w:rPr>
              <w:t xml:space="preserve">Lower, more competitive prices; fresher produce; traceable sourcing; supports local/sustainable agriculture</w:t>
            </w:r>
          </w:p>
        </w:tc>
      </w:tr>
      <w:tr>
        <w:tc>
          <w:tcPr>
            <w:tcW w:type="dxa" w:w="2621"/>
            <w:tcMar>
              <w:top w:type="dxa" w:w="80"/>
              <w:left w:type="dxa" w:w="100"/>
              <w:bottom w:type="dxa" w:w="80"/>
              <w:right w:type="dxa" w:w="100"/>
            </w:tcMar>
          </w:tcPr>
          <w:p>
            <w:r>
              <w:rPr>
                <w:b w:val="false"/>
                <w:bCs w:val="false"/>
                <w:sz w:val="20"/>
                <w:szCs w:val="20"/>
              </w:rPr>
              <w:t xml:space="preserve">Retailers &amp; Business</w:t>
            </w:r>
          </w:p>
        </w:tc>
        <w:tc>
          <w:tcPr>
            <w:tcW w:type="dxa" w:w="6739"/>
            <w:tcMar>
              <w:top w:type="dxa" w:w="80"/>
              <w:left w:type="dxa" w:w="100"/>
              <w:bottom w:type="dxa" w:w="80"/>
              <w:right w:type="dxa" w:w="100"/>
            </w:tcMar>
          </w:tcPr>
          <w:p>
            <w:r>
              <w:rPr>
                <w:b w:val="false"/>
                <w:bCs w:val="false"/>
                <w:sz w:val="20"/>
                <w:szCs w:val="20"/>
              </w:rPr>
              <w:t xml:space="preserve">Direct procurement with standardized A/B/C quality info; reliable supply; AI-driven demand forecasting</w:t>
            </w:r>
          </w:p>
        </w:tc>
      </w:tr>
      <w:tr>
        <w:tc>
          <w:tcPr>
            <w:tcW w:type="dxa" w:w="2621"/>
            <w:tcMar>
              <w:top w:type="dxa" w:w="80"/>
              <w:left w:type="dxa" w:w="100"/>
              <w:bottom w:type="dxa" w:w="80"/>
              <w:right w:type="dxa" w:w="100"/>
            </w:tcMar>
          </w:tcPr>
          <w:p>
            <w:r>
              <w:rPr>
                <w:b w:val="false"/>
                <w:bCs w:val="false"/>
                <w:sz w:val="20"/>
                <w:szCs w:val="20"/>
              </w:rPr>
              <w:t xml:space="preserve">Economic</w:t>
            </w:r>
          </w:p>
        </w:tc>
        <w:tc>
          <w:tcPr>
            <w:tcW w:type="dxa" w:w="6739"/>
            <w:tcMar>
              <w:top w:type="dxa" w:w="80"/>
              <w:left w:type="dxa" w:w="100"/>
              <w:bottom w:type="dxa" w:w="80"/>
              <w:right w:type="dxa" w:w="100"/>
            </w:tcMar>
          </w:tcPr>
          <w:p>
            <w:r>
              <w:rPr>
                <w:b w:val="false"/>
                <w:bCs w:val="false"/>
                <w:sz w:val="20"/>
                <w:szCs w:val="20"/>
              </w:rPr>
              <w:t xml:space="preserve">Higher farmer income (removes 3-5 broker layers); price transparency prevents distress selling; lower consumer prices</w:t>
            </w:r>
          </w:p>
        </w:tc>
      </w:tr>
      <w:tr>
        <w:tc>
          <w:tcPr>
            <w:tcW w:type="dxa" w:w="2621"/>
            <w:tcMar>
              <w:top w:type="dxa" w:w="80"/>
              <w:left w:type="dxa" w:w="100"/>
              <w:bottom w:type="dxa" w:w="80"/>
              <w:right w:type="dxa" w:w="100"/>
            </w:tcMar>
          </w:tcPr>
          <w:p>
            <w:r>
              <w:rPr>
                <w:b w:val="false"/>
                <w:bCs w:val="false"/>
                <w:sz w:val="20"/>
                <w:szCs w:val="20"/>
              </w:rPr>
              <w:t xml:space="preserve">Systemic</w:t>
            </w:r>
          </w:p>
        </w:tc>
        <w:tc>
          <w:tcPr>
            <w:tcW w:type="dxa" w:w="6739"/>
            <w:tcMar>
              <w:top w:type="dxa" w:w="80"/>
              <w:left w:type="dxa" w:w="100"/>
              <w:bottom w:type="dxa" w:w="80"/>
              <w:right w:type="dxa" w:w="100"/>
            </w:tcMar>
          </w:tcPr>
          <w:p>
            <w:r>
              <w:rPr>
                <w:b w:val="false"/>
                <w:bCs w:val="false"/>
                <w:sz w:val="20"/>
                <w:szCs w:val="20"/>
              </w:rPr>
              <w:t xml:space="preserve">Reduced post-harvest spoilage (6-15%); optimized logistics; existing agents transition into pickup/logistics partners</w:t>
            </w:r>
          </w:p>
        </w:tc>
      </w:tr>
      <w:tr>
        <w:tc>
          <w:tcPr>
            <w:tcW w:type="dxa" w:w="2621"/>
            <w:tcMar>
              <w:top w:type="dxa" w:w="80"/>
              <w:left w:type="dxa" w:w="100"/>
              <w:bottom w:type="dxa" w:w="80"/>
              <w:right w:type="dxa" w:w="100"/>
            </w:tcMar>
          </w:tcPr>
          <w:p>
            <w:r>
              <w:rPr>
                <w:b w:val="false"/>
                <w:bCs w:val="false"/>
                <w:sz w:val="20"/>
                <w:szCs w:val="20"/>
              </w:rPr>
              <w:t xml:space="preserve">Security &amp; Inclusion</w:t>
            </w:r>
          </w:p>
        </w:tc>
        <w:tc>
          <w:tcPr>
            <w:tcW w:type="dxa" w:w="6739"/>
            <w:tcMar>
              <w:top w:type="dxa" w:w="80"/>
              <w:left w:type="dxa" w:w="100"/>
              <w:bottom w:type="dxa" w:w="80"/>
              <w:right w:type="dxa" w:w="100"/>
            </w:tcMar>
          </w:tcPr>
          <w:p>
            <w:r>
              <w:rPr>
                <w:b w:val="false"/>
                <w:bCs w:val="false"/>
                <w:sz w:val="20"/>
                <w:szCs w:val="20"/>
              </w:rPr>
              <w:t xml:space="preserve">100% escrow-protected transactions; multilingual/voice/offline access; reduced carbon footprint via shared transport</w:t>
            </w:r>
          </w:p>
        </w:tc>
      </w:tr>
    </w:tbl>
    <w:p>
      <w:pPr>
        <w:pStyle w:val="Heading1"/>
        <w:spacing w:after="150" w:before="300"/>
      </w:pPr>
      <w:r>
        <w:t xml:space="preserve">5. MVP Scope for the Hackathon Prototype</w:t>
      </w:r>
    </w:p>
    <w:p>
      <w:pPr>
        <w:spacing w:after="150"/>
      </w:pPr>
      <w:r>
        <w:t xml:space="preserve">Build depth-first on the demoable core path; mock or simplify the rest. This is the realistic build target given limited time.</w:t>
      </w:r>
    </w:p>
    <w:p>
      <w:pPr>
        <w:pStyle w:val="Heading2"/>
        <w:spacing w:after="100" w:before="200"/>
      </w:pPr>
      <w:r>
        <w:t xml:space="preserve">Build fully (core demo path)</w:t>
      </w:r>
    </w:p>
    <w:p>
      <w:pPr>
        <w:pStyle w:val="ListParagraph"/>
        <w:numPr>
          <w:ilvl w:val="0"/>
          <w:numId w:val="2"/>
        </w:numPr>
        <w:spacing w:after="80"/>
      </w:pPr>
      <w:r>
        <w:t xml:space="preserve">Farmer listing creation (voice/text) with photo upload</w:t>
      </w:r>
    </w:p>
    <w:p>
      <w:pPr>
        <w:pStyle w:val="ListParagraph"/>
        <w:numPr>
          <w:ilvl w:val="0"/>
          <w:numId w:val="2"/>
        </w:numPr>
        <w:spacing w:after="80"/>
      </w:pPr>
      <w:r>
        <w:t xml:space="preserve">Quality grading — a real small trained image classifier if time allows, else a clearly-labeled rule-based/heuristic stand-in</w:t>
      </w:r>
    </w:p>
    <w:p>
      <w:pPr>
        <w:pStyle w:val="ListParagraph"/>
        <w:numPr>
          <w:ilvl w:val="0"/>
          <w:numId w:val="2"/>
        </w:numPr>
        <w:spacing w:after="80"/>
      </w:pPr>
      <w:r>
        <w:t xml:space="preserve">Pricing engine using the real formula (Section 7) with either live or realistic mock mandi-price data</w:t>
      </w:r>
    </w:p>
    <w:p>
      <w:pPr>
        <w:pStyle w:val="ListParagraph"/>
        <w:numPr>
          <w:ilvl w:val="0"/>
          <w:numId w:val="2"/>
        </w:numPr>
        <w:spacing w:after="80"/>
      </w:pPr>
      <w:r>
        <w:t xml:space="preserve">Buyer-side browse + purchase flow</w:t>
      </w:r>
    </w:p>
    <w:p>
      <w:pPr>
        <w:pStyle w:val="ListParagraph"/>
        <w:numPr>
          <w:ilvl w:val="0"/>
          <w:numId w:val="2"/>
        </w:numPr>
        <w:spacing w:after="80"/>
      </w:pPr>
      <w:r>
        <w:t xml:space="preserve">Simulated escrow: Pending → Held → Released states, via a sandbox payment gateway (Razorpay test mode)</w:t>
      </w:r>
    </w:p>
    <w:p>
      <w:pPr>
        <w:pStyle w:val="ListParagraph"/>
        <w:numPr>
          <w:ilvl w:val="0"/>
          <w:numId w:val="2"/>
        </w:numPr>
        <w:spacing w:after="80"/>
      </w:pPr>
      <w:r>
        <w:t xml:space="preserve">Delivery confirmation (manual button or simple GPS-distance check) that triggers payout release</w:t>
      </w:r>
    </w:p>
    <w:p>
      <w:pPr>
        <w:pStyle w:val="Heading2"/>
        <w:spacing w:after="100" w:before="200"/>
      </w:pPr>
      <w:r>
        <w:t xml:space="preserve">Mock or simplify</w:t>
      </w:r>
    </w:p>
    <w:p>
      <w:pPr>
        <w:pStyle w:val="ListParagraph"/>
        <w:numPr>
          <w:ilvl w:val="0"/>
          <w:numId w:val="2"/>
        </w:numPr>
        <w:spacing w:after="80"/>
      </w:pPr>
      <w:r>
        <w:t xml:space="preserve">Real bank payouts — use sandbox/test transactions only, never real money</w:t>
      </w:r>
    </w:p>
    <w:p>
      <w:pPr>
        <w:pStyle w:val="ListParagraph"/>
        <w:numPr>
          <w:ilvl w:val="0"/>
          <w:numId w:val="2"/>
        </w:numPr>
        <w:spacing w:after="80"/>
      </w:pPr>
      <w:r>
        <w:t xml:space="preserve">Offline sync — a basic 'save locally, sync on reconnect' demo (toggle airplane mode) is enough</w:t>
      </w:r>
    </w:p>
    <w:p>
      <w:pPr>
        <w:pStyle w:val="ListParagraph"/>
        <w:numPr>
          <w:ilvl w:val="0"/>
          <w:numId w:val="2"/>
        </w:numPr>
        <w:spacing w:after="80"/>
      </w:pPr>
      <w:r>
        <w:t xml:space="preserve">SMS/IVR fallback — can be diagrammed rather than fully built if time is short</w:t>
      </w:r>
    </w:p>
    <w:p>
      <w:pPr>
        <w:pStyle w:val="ListParagraph"/>
        <w:numPr>
          <w:ilvl w:val="0"/>
          <w:numId w:val="2"/>
        </w:numPr>
        <w:spacing w:after="80"/>
      </w:pPr>
      <w:r>
        <w:t xml:space="preserve">FPO aggregation dashboard — a simple secondary view listing pooled farmer lots is sufficient</w:t>
      </w:r>
    </w:p>
    <w:p>
      <w:pPr>
        <w:pStyle w:val="Heading2"/>
        <w:spacing w:after="100" w:before="200"/>
      </w:pPr>
      <w:r>
        <w:t xml:space="preserve">Out of scope for MVP</w:t>
      </w:r>
    </w:p>
    <w:p>
      <w:pPr>
        <w:pStyle w:val="ListParagraph"/>
        <w:numPr>
          <w:ilvl w:val="0"/>
          <w:numId w:val="2"/>
        </w:numPr>
        <w:spacing w:after="80"/>
      </w:pPr>
      <w:r>
        <w:t xml:space="preserve">Production security hardening, real KYC/bank integration, multi-region scaling, ML drift-monitoring pipelines</w:t>
      </w:r>
    </w:p>
    <w:p>
      <w:pPr>
        <w:pStyle w:val="Heading1"/>
        <w:spacing w:after="150" w:before="300"/>
      </w:pPr>
      <w:r>
        <w:t xml:space="preserve">6. System Architecture</w:t>
      </w:r>
    </w:p>
    <w:p>
      <w:pPr>
        <w:shd w:fill="F0F0F0" w:val="clear"/>
        <w:spacing w:after="150"/>
      </w:pPr>
      <w:r>
        <w:rPr>
          <w:rFonts w:ascii="Consolas" w:cs="Consolas" w:eastAsia="Consolas" w:hAnsi="Consolas"/>
          <w:sz w:val="19"/>
          <w:szCs w:val="19"/>
        </w:rPr>
        <w:t xml:space="preserve">Client (Flutter/React App)</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API Gateway (Node.js/Express)</w:t>
      </w:r>
      <w:r>
        <w:rPr>
          <w:rFonts w:ascii="Consolas" w:cs="Consolas" w:eastAsia="Consolas" w:hAnsi="Consolas"/>
          <w:sz w:val="19"/>
          <w:szCs w:val="19"/>
        </w:rPr>
        <w:br/>
        <w:t xml:space="preserve">   |</w:t>
      </w:r>
      <w:r>
        <w:rPr>
          <w:rFonts w:ascii="Consolas" w:cs="Consolas" w:eastAsia="Consolas" w:hAnsi="Consolas"/>
          <w:sz w:val="19"/>
          <w:szCs w:val="19"/>
        </w:rPr>
        <w:br/>
        <w:t xml:space="preserve">   +--&gt; Listing Service</w:t>
      </w:r>
      <w:r>
        <w:rPr>
          <w:rFonts w:ascii="Consolas" w:cs="Consolas" w:eastAsia="Consolas" w:hAnsi="Consolas"/>
          <w:sz w:val="19"/>
          <w:szCs w:val="19"/>
        </w:rPr>
        <w:br/>
        <w:t xml:space="preserve">   +--&gt; Grading Service (CV model)</w:t>
      </w:r>
      <w:r>
        <w:rPr>
          <w:rFonts w:ascii="Consolas" w:cs="Consolas" w:eastAsia="Consolas" w:hAnsi="Consolas"/>
          <w:sz w:val="19"/>
          <w:szCs w:val="19"/>
        </w:rPr>
        <w:br/>
        <w:t xml:space="preserve">   +--&gt; Pricing Service (pricing engine)</w:t>
      </w:r>
      <w:r>
        <w:rPr>
          <w:rFonts w:ascii="Consolas" w:cs="Consolas" w:eastAsia="Consolas" w:hAnsi="Consolas"/>
          <w:sz w:val="19"/>
          <w:szCs w:val="19"/>
        </w:rPr>
        <w:br/>
        <w:t xml:space="preserve">   +--&gt; Order &amp; Matching Service</w:t>
      </w:r>
      <w:r>
        <w:rPr>
          <w:rFonts w:ascii="Consolas" w:cs="Consolas" w:eastAsia="Consolas" w:hAnsi="Consolas"/>
          <w:sz w:val="19"/>
          <w:szCs w:val="19"/>
        </w:rPr>
        <w:br/>
        <w:t xml:space="preserve">   +--&gt; Escrow &amp; Payment Service (UPI/Razorpay sandbox)</w:t>
      </w:r>
      <w:r>
        <w:rPr>
          <w:rFonts w:ascii="Consolas" w:cs="Consolas" w:eastAsia="Consolas" w:hAnsi="Consolas"/>
          <w:sz w:val="19"/>
          <w:szCs w:val="19"/>
        </w:rPr>
        <w:br/>
        <w:t xml:space="preserve">   +--&gt; Logistics Service</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PostgreSQL (core data) + Object Storage (produce images)</w:t>
      </w:r>
    </w:p>
    <w:p>
      <w:pPr>
        <w:pStyle w:val="Heading1"/>
        <w:spacing w:after="150" w:before="300"/>
      </w:pPr>
      <w:r>
        <w:t xml:space="preserve">7. Data Model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6739"/>
      </w:tblGrid>
      <w:tr>
        <w:tc>
          <w:tcPr>
            <w:tcW w:type="dxa" w:w="2621"/>
            <w:shd w:fill="D9E8DD"/>
            <w:tcMar>
              <w:top w:type="dxa" w:w="80"/>
              <w:left w:type="dxa" w:w="100"/>
              <w:bottom w:type="dxa" w:w="80"/>
              <w:right w:type="dxa" w:w="100"/>
            </w:tcMar>
          </w:tcPr>
          <w:p>
            <w:r>
              <w:rPr>
                <w:b/>
                <w:bCs/>
                <w:sz w:val="20"/>
                <w:szCs w:val="20"/>
              </w:rPr>
              <w:t xml:space="preserve">Entity</w:t>
            </w:r>
          </w:p>
        </w:tc>
        <w:tc>
          <w:tcPr>
            <w:tcW w:type="dxa" w:w="6739"/>
            <w:shd w:fill="D9E8DD"/>
            <w:tcMar>
              <w:top w:type="dxa" w:w="80"/>
              <w:left w:type="dxa" w:w="100"/>
              <w:bottom w:type="dxa" w:w="80"/>
              <w:right w:type="dxa" w:w="100"/>
            </w:tcMar>
          </w:tcPr>
          <w:p>
            <w:r>
              <w:rPr>
                <w:b/>
                <w:bCs/>
                <w:sz w:val="20"/>
                <w:szCs w:val="20"/>
              </w:rPr>
              <w:t xml:space="preserve">Key Fields</w:t>
            </w:r>
          </w:p>
        </w:tc>
      </w:tr>
      <w:tr>
        <w:tc>
          <w:tcPr>
            <w:tcW w:type="dxa" w:w="2621"/>
            <w:tcMar>
              <w:top w:type="dxa" w:w="80"/>
              <w:left w:type="dxa" w:w="100"/>
              <w:bottom w:type="dxa" w:w="80"/>
              <w:right w:type="dxa" w:w="100"/>
            </w:tcMar>
          </w:tcPr>
          <w:p>
            <w:r>
              <w:rPr>
                <w:b w:val="false"/>
                <w:bCs w:val="false"/>
                <w:sz w:val="20"/>
                <w:szCs w:val="20"/>
              </w:rPr>
              <w:t xml:space="preserve">User</w:t>
            </w:r>
          </w:p>
        </w:tc>
        <w:tc>
          <w:tcPr>
            <w:tcW w:type="dxa" w:w="6739"/>
            <w:tcMar>
              <w:top w:type="dxa" w:w="80"/>
              <w:left w:type="dxa" w:w="100"/>
              <w:bottom w:type="dxa" w:w="80"/>
              <w:right w:type="dxa" w:w="100"/>
            </w:tcMar>
          </w:tcPr>
          <w:p>
            <w:r>
              <w:rPr>
                <w:b w:val="false"/>
                <w:bCs w:val="false"/>
                <w:sz w:val="20"/>
                <w:szCs w:val="20"/>
              </w:rPr>
              <w:t xml:space="preserve">id, name, role (farmer/buyer/fpo_admin), phone, language_pref, location</w:t>
            </w:r>
          </w:p>
        </w:tc>
      </w:tr>
      <w:tr>
        <w:tc>
          <w:tcPr>
            <w:tcW w:type="dxa" w:w="2621"/>
            <w:tcMar>
              <w:top w:type="dxa" w:w="80"/>
              <w:left w:type="dxa" w:w="100"/>
              <w:bottom w:type="dxa" w:w="80"/>
              <w:right w:type="dxa" w:w="100"/>
            </w:tcMar>
          </w:tcPr>
          <w:p>
            <w:r>
              <w:rPr>
                <w:b w:val="false"/>
                <w:bCs w:val="false"/>
                <w:sz w:val="20"/>
                <w:szCs w:val="20"/>
              </w:rPr>
              <w:t xml:space="preserve">FarmerProfile</w:t>
            </w:r>
          </w:p>
        </w:tc>
        <w:tc>
          <w:tcPr>
            <w:tcW w:type="dxa" w:w="6739"/>
            <w:tcMar>
              <w:top w:type="dxa" w:w="80"/>
              <w:left w:type="dxa" w:w="100"/>
              <w:bottom w:type="dxa" w:w="80"/>
              <w:right w:type="dxa" w:w="100"/>
            </w:tcMar>
          </w:tcPr>
          <w:p>
            <w:r>
              <w:rPr>
                <w:b w:val="false"/>
                <w:bCs w:val="false"/>
                <w:sz w:val="20"/>
                <w:szCs w:val="20"/>
              </w:rPr>
              <w:t xml:space="preserve">user_id, farm_location, linked_bank_account, fpo_id (nullable)</w:t>
            </w:r>
          </w:p>
        </w:tc>
      </w:tr>
      <w:tr>
        <w:tc>
          <w:tcPr>
            <w:tcW w:type="dxa" w:w="2621"/>
            <w:tcMar>
              <w:top w:type="dxa" w:w="80"/>
              <w:left w:type="dxa" w:w="100"/>
              <w:bottom w:type="dxa" w:w="80"/>
              <w:right w:type="dxa" w:w="100"/>
            </w:tcMar>
          </w:tcPr>
          <w:p>
            <w:r>
              <w:rPr>
                <w:b w:val="false"/>
                <w:bCs w:val="false"/>
                <w:sz w:val="20"/>
                <w:szCs w:val="20"/>
              </w:rPr>
              <w:t xml:space="preserve">Listing</w:t>
            </w:r>
          </w:p>
        </w:tc>
        <w:tc>
          <w:tcPr>
            <w:tcW w:type="dxa" w:w="6739"/>
            <w:tcMar>
              <w:top w:type="dxa" w:w="80"/>
              <w:left w:type="dxa" w:w="100"/>
              <w:bottom w:type="dxa" w:w="80"/>
              <w:right w:type="dxa" w:w="100"/>
            </w:tcMar>
          </w:tcPr>
          <w:p>
            <w:r>
              <w:rPr>
                <w:b w:val="false"/>
                <w:bCs w:val="false"/>
                <w:sz w:val="20"/>
                <w:szCs w:val="20"/>
              </w:rPr>
              <w:t xml:space="preserve">id, farmer_id, crop_type, quantity, unit, image_urls, quality_grade, grade_confidence, status, created_at</w:t>
            </w:r>
          </w:p>
        </w:tc>
      </w:tr>
      <w:tr>
        <w:tc>
          <w:tcPr>
            <w:tcW w:type="dxa" w:w="2621"/>
            <w:tcMar>
              <w:top w:type="dxa" w:w="80"/>
              <w:left w:type="dxa" w:w="100"/>
              <w:bottom w:type="dxa" w:w="80"/>
              <w:right w:type="dxa" w:w="100"/>
            </w:tcMar>
          </w:tcPr>
          <w:p>
            <w:r>
              <w:rPr>
                <w:b w:val="false"/>
                <w:bCs w:val="false"/>
                <w:sz w:val="20"/>
                <w:szCs w:val="20"/>
              </w:rPr>
              <w:t xml:space="preserve">MarketPrice</w:t>
            </w:r>
          </w:p>
        </w:tc>
        <w:tc>
          <w:tcPr>
            <w:tcW w:type="dxa" w:w="6739"/>
            <w:tcMar>
              <w:top w:type="dxa" w:w="80"/>
              <w:left w:type="dxa" w:w="100"/>
              <w:bottom w:type="dxa" w:w="80"/>
              <w:right w:type="dxa" w:w="100"/>
            </w:tcMar>
          </w:tcPr>
          <w:p>
            <w:r>
              <w:rPr>
                <w:b w:val="false"/>
                <w:bCs w:val="false"/>
                <w:sz w:val="20"/>
                <w:szCs w:val="20"/>
              </w:rPr>
              <w:t xml:space="preserve">crop_type, region, mandi_price, date (from eNAM/Agmarknet or mock data)</w:t>
            </w:r>
          </w:p>
        </w:tc>
      </w:tr>
      <w:tr>
        <w:tc>
          <w:tcPr>
            <w:tcW w:type="dxa" w:w="2621"/>
            <w:tcMar>
              <w:top w:type="dxa" w:w="80"/>
              <w:left w:type="dxa" w:w="100"/>
              <w:bottom w:type="dxa" w:w="80"/>
              <w:right w:type="dxa" w:w="100"/>
            </w:tcMar>
          </w:tcPr>
          <w:p>
            <w:r>
              <w:rPr>
                <w:b w:val="false"/>
                <w:bCs w:val="false"/>
                <w:sz w:val="20"/>
                <w:szCs w:val="20"/>
              </w:rPr>
              <w:t xml:space="preserve">PriceRecommendation</w:t>
            </w:r>
          </w:p>
        </w:tc>
        <w:tc>
          <w:tcPr>
            <w:tcW w:type="dxa" w:w="6739"/>
            <w:tcMar>
              <w:top w:type="dxa" w:w="80"/>
              <w:left w:type="dxa" w:w="100"/>
              <w:bottom w:type="dxa" w:w="80"/>
              <w:right w:type="dxa" w:w="100"/>
            </w:tcMar>
          </w:tcPr>
          <w:p>
            <w:r>
              <w:rPr>
                <w:b w:val="false"/>
                <w:bCs w:val="false"/>
                <w:sz w:val="20"/>
                <w:szCs w:val="20"/>
              </w:rPr>
              <w:t xml:space="preserve">listing_id, computed_osp, input_factors (json), created_at</w:t>
            </w:r>
          </w:p>
        </w:tc>
      </w:tr>
      <w:tr>
        <w:tc>
          <w:tcPr>
            <w:tcW w:type="dxa" w:w="2621"/>
            <w:tcMar>
              <w:top w:type="dxa" w:w="80"/>
              <w:left w:type="dxa" w:w="100"/>
              <w:bottom w:type="dxa" w:w="80"/>
              <w:right w:type="dxa" w:w="100"/>
            </w:tcMar>
          </w:tcPr>
          <w:p>
            <w:r>
              <w:rPr>
                <w:b w:val="false"/>
                <w:bCs w:val="false"/>
                <w:sz w:val="20"/>
                <w:szCs w:val="20"/>
              </w:rPr>
              <w:t xml:space="preserve">Order</w:t>
            </w:r>
          </w:p>
        </w:tc>
        <w:tc>
          <w:tcPr>
            <w:tcW w:type="dxa" w:w="6739"/>
            <w:tcMar>
              <w:top w:type="dxa" w:w="80"/>
              <w:left w:type="dxa" w:w="100"/>
              <w:bottom w:type="dxa" w:w="80"/>
              <w:right w:type="dxa" w:w="100"/>
            </w:tcMar>
          </w:tcPr>
          <w:p>
            <w:r>
              <w:rPr>
                <w:b w:val="false"/>
                <w:bCs w:val="false"/>
                <w:sz w:val="20"/>
                <w:szCs w:val="20"/>
              </w:rPr>
              <w:t xml:space="preserve">id, listing_id, buyer_id, agreed_price, quantity, status (placed/escrowed/delivered/settled)</w:t>
            </w:r>
          </w:p>
        </w:tc>
      </w:tr>
      <w:tr>
        <w:tc>
          <w:tcPr>
            <w:tcW w:type="dxa" w:w="2621"/>
            <w:tcMar>
              <w:top w:type="dxa" w:w="80"/>
              <w:left w:type="dxa" w:w="100"/>
              <w:bottom w:type="dxa" w:w="80"/>
              <w:right w:type="dxa" w:w="100"/>
            </w:tcMar>
          </w:tcPr>
          <w:p>
            <w:r>
              <w:rPr>
                <w:b w:val="false"/>
                <w:bCs w:val="false"/>
                <w:sz w:val="20"/>
                <w:szCs w:val="20"/>
              </w:rPr>
              <w:t xml:space="preserve">EscrowTransaction</w:t>
            </w:r>
          </w:p>
        </w:tc>
        <w:tc>
          <w:tcPr>
            <w:tcW w:type="dxa" w:w="6739"/>
            <w:tcMar>
              <w:top w:type="dxa" w:w="80"/>
              <w:left w:type="dxa" w:w="100"/>
              <w:bottom w:type="dxa" w:w="80"/>
              <w:right w:type="dxa" w:w="100"/>
            </w:tcMar>
          </w:tcPr>
          <w:p>
            <w:r>
              <w:rPr>
                <w:b w:val="false"/>
                <w:bCs w:val="false"/>
                <w:sz w:val="20"/>
                <w:szCs w:val="20"/>
              </w:rPr>
              <w:t xml:space="preserve">order_id, amount, status (held/released/disputed), payment_ref, released_at</w:t>
            </w:r>
          </w:p>
        </w:tc>
      </w:tr>
      <w:tr>
        <w:tc>
          <w:tcPr>
            <w:tcW w:type="dxa" w:w="2621"/>
            <w:tcMar>
              <w:top w:type="dxa" w:w="80"/>
              <w:left w:type="dxa" w:w="100"/>
              <w:bottom w:type="dxa" w:w="80"/>
              <w:right w:type="dxa" w:w="100"/>
            </w:tcMar>
          </w:tcPr>
          <w:p>
            <w:r>
              <w:rPr>
                <w:b w:val="false"/>
                <w:bCs w:val="false"/>
                <w:sz w:val="20"/>
                <w:szCs w:val="20"/>
              </w:rPr>
              <w:t xml:space="preserve">Delivery</w:t>
            </w:r>
          </w:p>
        </w:tc>
        <w:tc>
          <w:tcPr>
            <w:tcW w:type="dxa" w:w="6739"/>
            <w:tcMar>
              <w:top w:type="dxa" w:w="80"/>
              <w:left w:type="dxa" w:w="100"/>
              <w:bottom w:type="dxa" w:w="80"/>
              <w:right w:type="dxa" w:w="100"/>
            </w:tcMar>
          </w:tcPr>
          <w:p>
            <w:r>
              <w:rPr>
                <w:b w:val="false"/>
                <w:bCs w:val="false"/>
                <w:sz w:val="20"/>
                <w:szCs w:val="20"/>
              </w:rPr>
              <w:t xml:space="preserve">order_id, pickup_time, gps_dropoff_coords, otp_verified (bool), delivered_at</w:t>
            </w:r>
          </w:p>
        </w:tc>
      </w:tr>
      <w:tr>
        <w:tc>
          <w:tcPr>
            <w:tcW w:type="dxa" w:w="2621"/>
            <w:tcMar>
              <w:top w:type="dxa" w:w="80"/>
              <w:left w:type="dxa" w:w="100"/>
              <w:bottom w:type="dxa" w:w="80"/>
              <w:right w:type="dxa" w:w="100"/>
            </w:tcMar>
          </w:tcPr>
          <w:p>
            <w:r>
              <w:rPr>
                <w:b w:val="false"/>
                <w:bCs w:val="false"/>
                <w:sz w:val="20"/>
                <w:szCs w:val="20"/>
              </w:rPr>
              <w:t xml:space="preserve">FPO</w:t>
            </w:r>
          </w:p>
        </w:tc>
        <w:tc>
          <w:tcPr>
            <w:tcW w:type="dxa" w:w="6739"/>
            <w:tcMar>
              <w:top w:type="dxa" w:w="80"/>
              <w:left w:type="dxa" w:w="100"/>
              <w:bottom w:type="dxa" w:w="80"/>
              <w:right w:type="dxa" w:w="100"/>
            </w:tcMar>
          </w:tcPr>
          <w:p>
            <w:r>
              <w:rPr>
                <w:b w:val="false"/>
                <w:bCs w:val="false"/>
                <w:sz w:val="20"/>
                <w:szCs w:val="20"/>
              </w:rPr>
              <w:t xml:space="preserve">id, name, member_farmer_ids, region</w:t>
            </w:r>
          </w:p>
        </w:tc>
      </w:tr>
    </w:tbl>
    <w:p>
      <w:pPr>
        <w:pStyle w:val="Heading1"/>
        <w:spacing w:after="150" w:before="300"/>
      </w:pPr>
      <w:r>
        <w:t xml:space="preserve">8. Dynamic Pricing Engine — Formula &amp; Worked Example</w:t>
      </w:r>
    </w:p>
    <w:p>
      <w:pPr>
        <w:spacing w:after="150"/>
      </w:pPr>
      <w:r>
        <w:t xml:space="preserve">The engine computes an Optimal Settlement Price (OSP) — a protected floor price. Buyers may purchase at or above it, never below it.</w:t>
      </w:r>
    </w:p>
    <w:p>
      <w:pPr>
        <w:shd w:fill="F0F0F0" w:val="clear"/>
        <w:spacing w:after="150"/>
      </w:pPr>
      <w:r>
        <w:rPr>
          <w:rFonts w:ascii="Consolas" w:cs="Consolas" w:eastAsia="Consolas" w:hAnsi="Consolas"/>
          <w:sz w:val="19"/>
          <w:szCs w:val="19"/>
        </w:rPr>
        <w:t xml:space="preserve">OSP = MandiBasePrice</w:t>
      </w:r>
      <w:r>
        <w:rPr>
          <w:rFonts w:ascii="Consolas" w:cs="Consolas" w:eastAsia="Consolas" w:hAnsi="Consolas"/>
          <w:sz w:val="19"/>
          <w:szCs w:val="19"/>
        </w:rPr>
        <w:br/>
        <w:t xml:space="preserve">      + w1 * ShelfLifeUrgencyFactor</w:t>
      </w:r>
      <w:r>
        <w:rPr>
          <w:rFonts w:ascii="Consolas" w:cs="Consolas" w:eastAsia="Consolas" w:hAnsi="Consolas"/>
          <w:sz w:val="19"/>
          <w:szCs w:val="19"/>
        </w:rPr>
        <w:br/>
        <w:t xml:space="preserve">      - w2 * TransportCostEstimate</w:t>
      </w:r>
      <w:r>
        <w:rPr>
          <w:rFonts w:ascii="Consolas" w:cs="Consolas" w:eastAsia="Consolas" w:hAnsi="Consolas"/>
          <w:sz w:val="19"/>
          <w:szCs w:val="19"/>
        </w:rPr>
        <w:br/>
        <w:t xml:space="preserve">      + w3 * WeatherRiskAdjustment</w:t>
      </w:r>
    </w:p>
    <w:p>
      <w:pPr>
        <w:pStyle w:val="ListParagraph"/>
        <w:numPr>
          <w:ilvl w:val="0"/>
          <w:numId w:val="2"/>
        </w:numPr>
        <w:spacing w:after="80"/>
      </w:pPr>
      <w:r>
        <w:t xml:space="preserve">MandiBasePrice: latest local mandi price (eNAM/Agmarknet API, or mock CSV for the demo)</w:t>
      </w:r>
    </w:p>
    <w:p>
      <w:pPr>
        <w:pStyle w:val="ListParagraph"/>
        <w:numPr>
          <w:ilvl w:val="0"/>
          <w:numId w:val="2"/>
        </w:numPr>
        <w:spacing w:after="80"/>
      </w:pPr>
      <w:r>
        <w:t xml:space="preserve">ShelfLifeUrgencyFactor: higher for fast-perishing crops nearing spoilage</w:t>
      </w:r>
    </w:p>
    <w:p>
      <w:pPr>
        <w:pStyle w:val="ListParagraph"/>
        <w:numPr>
          <w:ilvl w:val="0"/>
          <w:numId w:val="2"/>
        </w:numPr>
        <w:spacing w:after="80"/>
      </w:pPr>
      <w:r>
        <w:t xml:space="preserve">TransportCostEstimate: distance-based estimate to nearest demand cluster (subtracted)</w:t>
      </w:r>
    </w:p>
    <w:p>
      <w:pPr>
        <w:pStyle w:val="ListParagraph"/>
        <w:numPr>
          <w:ilvl w:val="0"/>
          <w:numId w:val="2"/>
        </w:numPr>
        <w:spacing w:after="80"/>
      </w:pPr>
      <w:r>
        <w:t xml:space="preserve">WeatherRiskAdjustment: raises price if near-term weather threatens supply (scarcity premium)</w:t>
      </w:r>
    </w:p>
    <w:p>
      <w:pPr>
        <w:pStyle w:val="ListParagraph"/>
        <w:numPr>
          <w:ilvl w:val="0"/>
          <w:numId w:val="2"/>
        </w:numPr>
        <w:spacing w:after="80"/>
      </w:pPr>
      <w:r>
        <w:t xml:space="preserve">w1, w2, w3: start with defaults (e.g., 0.15, 0.10, 0.05); in production, learn via regression on historical transaction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6739"/>
      </w:tblGrid>
      <w:tr>
        <w:tc>
          <w:tcPr>
            <w:tcW w:type="dxa" w:w="2621"/>
            <w:shd w:fill="D9E8DD"/>
            <w:tcMar>
              <w:top w:type="dxa" w:w="80"/>
              <w:left w:type="dxa" w:w="100"/>
              <w:bottom w:type="dxa" w:w="80"/>
              <w:right w:type="dxa" w:w="100"/>
            </w:tcMar>
          </w:tcPr>
          <w:p>
            <w:r>
              <w:rPr>
                <w:b/>
                <w:bCs/>
                <w:sz w:val="20"/>
                <w:szCs w:val="20"/>
              </w:rPr>
              <w:t xml:space="preserve">Input</w:t>
            </w:r>
          </w:p>
        </w:tc>
        <w:tc>
          <w:tcPr>
            <w:tcW w:type="dxa" w:w="6739"/>
            <w:shd w:fill="D9E8DD"/>
            <w:tcMar>
              <w:top w:type="dxa" w:w="80"/>
              <w:left w:type="dxa" w:w="100"/>
              <w:bottom w:type="dxa" w:w="80"/>
              <w:right w:type="dxa" w:w="100"/>
            </w:tcMar>
          </w:tcPr>
          <w:p>
            <w:r>
              <w:rPr>
                <w:b/>
                <w:bCs/>
                <w:sz w:val="20"/>
                <w:szCs w:val="20"/>
              </w:rPr>
              <w:t xml:space="preserve">Value</w:t>
            </w:r>
          </w:p>
        </w:tc>
      </w:tr>
      <w:tr>
        <w:tc>
          <w:tcPr>
            <w:tcW w:type="dxa" w:w="2621"/>
            <w:tcMar>
              <w:top w:type="dxa" w:w="80"/>
              <w:left w:type="dxa" w:w="100"/>
              <w:bottom w:type="dxa" w:w="80"/>
              <w:right w:type="dxa" w:w="100"/>
            </w:tcMar>
          </w:tcPr>
          <w:p>
            <w:r>
              <w:rPr>
                <w:b w:val="false"/>
                <w:bCs w:val="false"/>
                <w:sz w:val="20"/>
                <w:szCs w:val="20"/>
              </w:rPr>
              <w:t xml:space="preserve">Crop</w:t>
            </w:r>
          </w:p>
        </w:tc>
        <w:tc>
          <w:tcPr>
            <w:tcW w:type="dxa" w:w="6739"/>
            <w:tcMar>
              <w:top w:type="dxa" w:w="80"/>
              <w:left w:type="dxa" w:w="100"/>
              <w:bottom w:type="dxa" w:w="80"/>
              <w:right w:type="dxa" w:w="100"/>
            </w:tcMar>
          </w:tcPr>
          <w:p>
            <w:r>
              <w:rPr>
                <w:b w:val="false"/>
                <w:bCs w:val="false"/>
                <w:sz w:val="20"/>
                <w:szCs w:val="20"/>
              </w:rPr>
              <w:t xml:space="preserve">Tomatoes</w:t>
            </w:r>
          </w:p>
        </w:tc>
      </w:tr>
      <w:tr>
        <w:tc>
          <w:tcPr>
            <w:tcW w:type="dxa" w:w="2621"/>
            <w:tcMar>
              <w:top w:type="dxa" w:w="80"/>
              <w:left w:type="dxa" w:w="100"/>
              <w:bottom w:type="dxa" w:w="80"/>
              <w:right w:type="dxa" w:w="100"/>
            </w:tcMar>
          </w:tcPr>
          <w:p>
            <w:r>
              <w:rPr>
                <w:b w:val="false"/>
                <w:bCs w:val="false"/>
                <w:sz w:val="20"/>
                <w:szCs w:val="20"/>
              </w:rPr>
              <w:t xml:space="preserve">Mandi Base Price</w:t>
            </w:r>
          </w:p>
        </w:tc>
        <w:tc>
          <w:tcPr>
            <w:tcW w:type="dxa" w:w="6739"/>
            <w:tcMar>
              <w:top w:type="dxa" w:w="80"/>
              <w:left w:type="dxa" w:w="100"/>
              <w:bottom w:type="dxa" w:w="80"/>
              <w:right w:type="dxa" w:w="100"/>
            </w:tcMar>
          </w:tcPr>
          <w:p>
            <w:r>
              <w:rPr>
                <w:b w:val="false"/>
                <w:bCs w:val="false"/>
                <w:sz w:val="20"/>
                <w:szCs w:val="20"/>
              </w:rPr>
              <w:t xml:space="preserve">₹22/kg</w:t>
            </w:r>
          </w:p>
        </w:tc>
      </w:tr>
      <w:tr>
        <w:tc>
          <w:tcPr>
            <w:tcW w:type="dxa" w:w="2621"/>
            <w:tcMar>
              <w:top w:type="dxa" w:w="80"/>
              <w:left w:type="dxa" w:w="100"/>
              <w:bottom w:type="dxa" w:w="80"/>
              <w:right w:type="dxa" w:w="100"/>
            </w:tcMar>
          </w:tcPr>
          <w:p>
            <w:r>
              <w:rPr>
                <w:b w:val="false"/>
                <w:bCs w:val="false"/>
                <w:sz w:val="20"/>
                <w:szCs w:val="20"/>
              </w:rPr>
              <w:t xml:space="preserve">Shelf-life urgency (high, 2 days left)</w:t>
            </w:r>
          </w:p>
        </w:tc>
        <w:tc>
          <w:tcPr>
            <w:tcW w:type="dxa" w:w="6739"/>
            <w:tcMar>
              <w:top w:type="dxa" w:w="80"/>
              <w:left w:type="dxa" w:w="100"/>
              <w:bottom w:type="dxa" w:w="80"/>
              <w:right w:type="dxa" w:w="100"/>
            </w:tcMar>
          </w:tcPr>
          <w:p>
            <w:r>
              <w:rPr>
                <w:b w:val="false"/>
                <w:bCs w:val="false"/>
                <w:sz w:val="20"/>
                <w:szCs w:val="20"/>
              </w:rPr>
              <w:t xml:space="preserve">+₹3/kg</w:t>
            </w:r>
          </w:p>
        </w:tc>
      </w:tr>
      <w:tr>
        <w:tc>
          <w:tcPr>
            <w:tcW w:type="dxa" w:w="2621"/>
            <w:tcMar>
              <w:top w:type="dxa" w:w="80"/>
              <w:left w:type="dxa" w:w="100"/>
              <w:bottom w:type="dxa" w:w="80"/>
              <w:right w:type="dxa" w:w="100"/>
            </w:tcMar>
          </w:tcPr>
          <w:p>
            <w:r>
              <w:rPr>
                <w:b w:val="false"/>
                <w:bCs w:val="false"/>
                <w:sz w:val="20"/>
                <w:szCs w:val="20"/>
              </w:rPr>
              <w:t xml:space="preserve">Transport cost estimate</w:t>
            </w:r>
          </w:p>
        </w:tc>
        <w:tc>
          <w:tcPr>
            <w:tcW w:type="dxa" w:w="6739"/>
            <w:tcMar>
              <w:top w:type="dxa" w:w="80"/>
              <w:left w:type="dxa" w:w="100"/>
              <w:bottom w:type="dxa" w:w="80"/>
              <w:right w:type="dxa" w:w="100"/>
            </w:tcMar>
          </w:tcPr>
          <w:p>
            <w:r>
              <w:rPr>
                <w:b w:val="false"/>
                <w:bCs w:val="false"/>
                <w:sz w:val="20"/>
                <w:szCs w:val="20"/>
              </w:rPr>
              <w:t xml:space="preserve">-₹1/kg</w:t>
            </w:r>
          </w:p>
        </w:tc>
      </w:tr>
      <w:tr>
        <w:tc>
          <w:tcPr>
            <w:tcW w:type="dxa" w:w="2621"/>
            <w:tcMar>
              <w:top w:type="dxa" w:w="80"/>
              <w:left w:type="dxa" w:w="100"/>
              <w:bottom w:type="dxa" w:w="80"/>
              <w:right w:type="dxa" w:w="100"/>
            </w:tcMar>
          </w:tcPr>
          <w:p>
            <w:r>
              <w:rPr>
                <w:b w:val="false"/>
                <w:bCs w:val="false"/>
                <w:sz w:val="20"/>
                <w:szCs w:val="20"/>
              </w:rPr>
              <w:t xml:space="preserve">Weather risk (none)</w:t>
            </w:r>
          </w:p>
        </w:tc>
        <w:tc>
          <w:tcPr>
            <w:tcW w:type="dxa" w:w="6739"/>
            <w:tcMar>
              <w:top w:type="dxa" w:w="80"/>
              <w:left w:type="dxa" w:w="100"/>
              <w:bottom w:type="dxa" w:w="80"/>
              <w:right w:type="dxa" w:w="100"/>
            </w:tcMar>
          </w:tcPr>
          <w:p>
            <w:r>
              <w:rPr>
                <w:b w:val="false"/>
                <w:bCs w:val="false"/>
                <w:sz w:val="20"/>
                <w:szCs w:val="20"/>
              </w:rPr>
              <w:t xml:space="preserve">+₹0/kg</w:t>
            </w:r>
          </w:p>
        </w:tc>
      </w:tr>
      <w:tr>
        <w:tc>
          <w:tcPr>
            <w:tcW w:type="dxa" w:w="2621"/>
            <w:tcMar>
              <w:top w:type="dxa" w:w="80"/>
              <w:left w:type="dxa" w:w="100"/>
              <w:bottom w:type="dxa" w:w="80"/>
              <w:right w:type="dxa" w:w="100"/>
            </w:tcMar>
          </w:tcPr>
          <w:p>
            <w:r>
              <w:rPr>
                <w:b w:val="false"/>
                <w:bCs w:val="false"/>
                <w:sz w:val="20"/>
                <w:szCs w:val="20"/>
              </w:rPr>
              <w:t xml:space="preserve">Computed OSP (protected floor)</w:t>
            </w:r>
          </w:p>
        </w:tc>
        <w:tc>
          <w:tcPr>
            <w:tcW w:type="dxa" w:w="6739"/>
            <w:tcMar>
              <w:top w:type="dxa" w:w="80"/>
              <w:left w:type="dxa" w:w="100"/>
              <w:bottom w:type="dxa" w:w="80"/>
              <w:right w:type="dxa" w:w="100"/>
            </w:tcMar>
          </w:tcPr>
          <w:p>
            <w:r>
              <w:rPr>
                <w:b w:val="false"/>
                <w:bCs w:val="false"/>
                <w:sz w:val="20"/>
                <w:szCs w:val="20"/>
              </w:rPr>
              <w:t xml:space="preserve">₹24/kg</w:t>
            </w:r>
          </w:p>
        </w:tc>
      </w:tr>
      <w:tr>
        <w:tc>
          <w:tcPr>
            <w:tcW w:type="dxa" w:w="2621"/>
            <w:tcMar>
              <w:top w:type="dxa" w:w="80"/>
              <w:left w:type="dxa" w:w="100"/>
              <w:bottom w:type="dxa" w:w="80"/>
              <w:right w:type="dxa" w:w="100"/>
            </w:tcMar>
          </w:tcPr>
          <w:p>
            <w:r>
              <w:rPr>
                <w:b w:val="false"/>
                <w:bCs w:val="false"/>
                <w:sz w:val="20"/>
                <w:szCs w:val="20"/>
              </w:rPr>
              <w:t xml:space="preserve">Buyer's accepted bid</w:t>
            </w:r>
          </w:p>
        </w:tc>
        <w:tc>
          <w:tcPr>
            <w:tcW w:type="dxa" w:w="6739"/>
            <w:tcMar>
              <w:top w:type="dxa" w:w="80"/>
              <w:left w:type="dxa" w:w="100"/>
              <w:bottom w:type="dxa" w:w="80"/>
              <w:right w:type="dxa" w:w="100"/>
            </w:tcMar>
          </w:tcPr>
          <w:p>
            <w:r>
              <w:rPr>
                <w:b w:val="false"/>
                <w:bCs w:val="false"/>
                <w:sz w:val="20"/>
                <w:szCs w:val="20"/>
              </w:rPr>
              <w:t xml:space="preserve">₹28/kg (accepted, ≥ floor)</w:t>
            </w:r>
          </w:p>
        </w:tc>
      </w:tr>
      <w:tr>
        <w:tc>
          <w:tcPr>
            <w:tcW w:type="dxa" w:w="2621"/>
            <w:tcMar>
              <w:top w:type="dxa" w:w="80"/>
              <w:left w:type="dxa" w:w="100"/>
              <w:bottom w:type="dxa" w:w="80"/>
              <w:right w:type="dxa" w:w="100"/>
            </w:tcMar>
          </w:tcPr>
          <w:p>
            <w:r>
              <w:rPr>
                <w:b w:val="false"/>
                <w:bCs w:val="false"/>
                <w:sz w:val="20"/>
                <w:szCs w:val="20"/>
              </w:rPr>
              <w:t xml:space="preserve">Rejected bid example</w:t>
            </w:r>
          </w:p>
        </w:tc>
        <w:tc>
          <w:tcPr>
            <w:tcW w:type="dxa" w:w="6739"/>
            <w:tcMar>
              <w:top w:type="dxa" w:w="80"/>
              <w:left w:type="dxa" w:w="100"/>
              <w:bottom w:type="dxa" w:w="80"/>
              <w:right w:type="dxa" w:w="100"/>
            </w:tcMar>
          </w:tcPr>
          <w:p>
            <w:r>
              <w:rPr>
                <w:b w:val="false"/>
                <w:bCs w:val="false"/>
                <w:sz w:val="20"/>
                <w:szCs w:val="20"/>
              </w:rPr>
              <w:t xml:space="preserve">₹19/kg (rejected, below floor)</w:t>
            </w:r>
          </w:p>
        </w:tc>
      </w:tr>
    </w:tbl>
    <w:p>
      <w:pPr>
        <w:pStyle w:val="Heading1"/>
        <w:spacing w:after="150" w:before="300"/>
      </w:pPr>
      <w:r>
        <w:t xml:space="preserve">9. Computer Vision Grading Pipeline</w:t>
      </w:r>
    </w:p>
    <w:p>
      <w:pPr>
        <w:pStyle w:val="ListParagraph"/>
        <w:numPr>
          <w:ilvl w:val="0"/>
          <w:numId w:val="2"/>
        </w:numPr>
        <w:spacing w:after="80"/>
      </w:pPr>
      <w:r>
        <w:t xml:space="preserve">Capture: in-app camera overlay/frame guide; brightness/blur check before accepting the photo, re-prompt if poor</w:t>
      </w:r>
    </w:p>
    <w:p>
      <w:pPr>
        <w:pStyle w:val="ListParagraph"/>
        <w:numPr>
          <w:ilvl w:val="0"/>
          <w:numId w:val="2"/>
        </w:numPr>
        <w:spacing w:after="80"/>
      </w:pPr>
      <w:r>
        <w:t xml:space="preserve">Classify: CNN (MobileNet/EfficientNet or smaller custom model) outputs grade (A/B/C) with confidence score</w:t>
      </w:r>
    </w:p>
    <w:p>
      <w:pPr>
        <w:pStyle w:val="ListParagraph"/>
        <w:numPr>
          <w:ilvl w:val="0"/>
          <w:numId w:val="2"/>
        </w:numPr>
        <w:spacing w:after="80"/>
      </w:pPr>
      <w:r>
        <w:t xml:space="preserve">Confidence handling: below ~70% confidence, mark 'Grade pending verification' instead of showing an uncertain grade as final</w:t>
      </w:r>
    </w:p>
    <w:p>
      <w:pPr>
        <w:pStyle w:val="ListParagraph"/>
        <w:numPr>
          <w:ilvl w:val="0"/>
          <w:numId w:val="2"/>
        </w:numPr>
        <w:spacing w:after="80"/>
      </w:pPr>
      <w:r>
        <w:t xml:space="preserve">Fast-track fallback: if training time is short, use transfer learning on a small public produce dataset (e.g., Kaggle), or a rule-based color/size heuristic clearly labeled as a placeholder in the demo</w:t>
      </w:r>
    </w:p>
    <w:p>
      <w:pPr>
        <w:pStyle w:val="Heading1"/>
        <w:spacing w:after="150" w:before="300"/>
      </w:pPr>
      <w:r>
        <w:t xml:space="preserve">10. Dual-Shield Escrow &amp; Payment Flow</w:t>
      </w:r>
    </w:p>
    <w:p>
      <w:pPr>
        <w:pStyle w:val="ListParagraph"/>
        <w:numPr>
          <w:ilvl w:val="0"/>
          <w:numId w:val="2"/>
        </w:numPr>
        <w:spacing w:after="80"/>
      </w:pPr>
      <w:r>
        <w:t xml:space="preserve">Shield 1 (Price Lock): on order placement, agreed price is captured immediately into escrow via UPI/Razorpay sandbox — immutable after this point</w:t>
      </w:r>
    </w:p>
    <w:p>
      <w:pPr>
        <w:pStyle w:val="ListParagraph"/>
        <w:numPr>
          <w:ilvl w:val="0"/>
          <w:numId w:val="2"/>
        </w:numPr>
        <w:spacing w:after="80"/>
      </w:pPr>
      <w:r>
        <w:t xml:space="preserve">Shield 2 (Delivery Verification): funds release only when delivery is verified — GPS geo-fence match (~100m) + buyer OTP on receipt</w:t>
      </w:r>
    </w:p>
    <w:p>
      <w:pPr>
        <w:pStyle w:val="ListParagraph"/>
        <w:numPr>
          <w:ilvl w:val="0"/>
          <w:numId w:val="2"/>
        </w:numPr>
        <w:spacing w:after="80"/>
      </w:pPr>
      <w:r>
        <w:t xml:space="preserve">On success: trigger sandbox payout API crediting the farmer; log the full held→released transaction for audit</w:t>
      </w:r>
    </w:p>
    <w:p>
      <w:pPr>
        <w:pStyle w:val="ListParagraph"/>
        <w:numPr>
          <w:ilvl w:val="0"/>
          <w:numId w:val="2"/>
        </w:numPr>
        <w:spacing w:after="80"/>
      </w:pPr>
      <w:r>
        <w:t xml:space="preserve">On failure: leave funds in escrow, flag for manual review — never auto-release</w:t>
      </w:r>
    </w:p>
    <w:p>
      <w:pPr>
        <w:pStyle w:val="Heading1"/>
        <w:spacing w:after="150" w:before="300"/>
      </w:pPr>
      <w:r>
        <w:t xml:space="preserve">11. Offline-First Behavior</w:t>
      </w:r>
    </w:p>
    <w:p>
      <w:pPr>
        <w:pStyle w:val="ListParagraph"/>
        <w:numPr>
          <w:ilvl w:val="0"/>
          <w:numId w:val="2"/>
        </w:numPr>
        <w:spacing w:after="80"/>
      </w:pPr>
      <w:r>
        <w:t xml:space="preserve">Listings created offline save to local storage (SQLite) with a client-generated UUID and 'pending sync' status</w:t>
      </w:r>
    </w:p>
    <w:p>
      <w:pPr>
        <w:pStyle w:val="ListParagraph"/>
        <w:numPr>
          <w:ilvl w:val="0"/>
          <w:numId w:val="2"/>
        </w:numPr>
        <w:spacing w:after="80"/>
      </w:pPr>
      <w:r>
        <w:t xml:space="preserve">Background sync pushes queued listings/images once connectivity returns</w:t>
      </w:r>
    </w:p>
    <w:p>
      <w:pPr>
        <w:pStyle w:val="ListParagraph"/>
        <w:numPr>
          <w:ilvl w:val="0"/>
          <w:numId w:val="2"/>
        </w:numPr>
        <w:spacing w:after="80"/>
      </w:pPr>
      <w:r>
        <w:t xml:space="preserve">Demo trick: toggle airplane mode, create a listing, reconnect, show it appear on the buyer marketplace</w:t>
      </w:r>
    </w:p>
    <w:p>
      <w:pPr>
        <w:pStyle w:val="Heading1"/>
        <w:spacing w:after="150" w:before="300"/>
      </w:pPr>
      <w:r>
        <w:t xml:space="preserve">12. UI / Visual Design Direction</w:t>
      </w:r>
    </w:p>
    <w:p>
      <w:pPr>
        <w:spacing w:after="150"/>
      </w:pPr>
      <w:r>
        <w:t xml:space="preserve">The pitch deck already establishes a visual identity — the prototype UI should match it closely so the demo feels like one coherent product, not a deck plus an unrelated app.</w:t>
      </w:r>
    </w:p>
    <w:p>
      <w:pPr>
        <w:pStyle w:val="Heading2"/>
        <w:spacing w:after="100" w:before="200"/>
      </w:pPr>
      <w:r>
        <w:t xml:space="preserve">Design system to follow</w:t>
      </w:r>
    </w:p>
    <w:p>
      <w:pPr>
        <w:pStyle w:val="ListParagraph"/>
        <w:numPr>
          <w:ilvl w:val="0"/>
          <w:numId w:val="2"/>
        </w:numPr>
        <w:spacing w:after="80"/>
      </w:pPr>
      <w:r>
        <w:t xml:space="preserve">Overall style: clean, card-based layouts on white backgrounds — rounded corners (8-12px radius), soft pastel-tinted card backgrounds, generous whitespace, no visual clutter</w:t>
      </w:r>
    </w:p>
    <w:p>
      <w:pPr>
        <w:pStyle w:val="ListParagraph"/>
        <w:numPr>
          <w:ilvl w:val="0"/>
          <w:numId w:val="2"/>
        </w:numPr>
        <w:spacing w:after="80"/>
      </w:pPr>
      <w:r>
        <w:t xml:space="preserve">Color palette by function: green (#1B7A4A family) = farmer-related actions &amp; positive/success states; blue (#1B6FA8 family) = informational/tech elements; orange (#C2660B family) = pricing/value elements; pink/magenta (#B3225A family) = consumer-related elements; teal (#1B8A8A family) = logistics; purple (#6B3FA0 family) = trust/security/agents</w:t>
      </w:r>
    </w:p>
    <w:p>
      <w:pPr>
        <w:pStyle w:val="ListParagraph"/>
        <w:numPr>
          <w:ilvl w:val="0"/>
          <w:numId w:val="2"/>
        </w:numPr>
        <w:spacing w:after="80"/>
      </w:pPr>
      <w:r>
        <w:t xml:space="preserve">Typography: bold, modern sans-serif for headings (e.g., Calibri/Poppins-style), regular weight for body text, clear hierarchy (title &gt; section label &gt; description)</w:t>
      </w:r>
    </w:p>
    <w:p>
      <w:pPr>
        <w:pStyle w:val="ListParagraph"/>
        <w:numPr>
          <w:ilvl w:val="0"/>
          <w:numId w:val="2"/>
        </w:numPr>
        <w:spacing w:after="80"/>
      </w:pPr>
      <w:r>
        <w:t xml:space="preserve">Iconography: simple line or duotone icons per module (mic for voice listing, shield for escrow, truck for logistics, leaf for farmer) — keep consistent stroke weight across all icons</w:t>
      </w:r>
    </w:p>
    <w:p>
      <w:pPr>
        <w:pStyle w:val="ListParagraph"/>
        <w:numPr>
          <w:ilvl w:val="0"/>
          <w:numId w:val="2"/>
        </w:numPr>
        <w:spacing w:after="80"/>
      </w:pPr>
      <w:r>
        <w:t xml:space="preserve">Numbered step flows: circular numbered badges connected by a vertical or horizontal line, exactly as used in the deck's 'Implementation Process' and '1-6 transaction flow' — reuse this pattern anywhere the UI shows a sequence (onboarding, order tracking, delivery status)</w:t>
      </w:r>
    </w:p>
    <w:p>
      <w:pPr>
        <w:pStyle w:val="ListParagraph"/>
        <w:numPr>
          <w:ilvl w:val="0"/>
          <w:numId w:val="2"/>
        </w:numPr>
        <w:spacing w:after="80"/>
      </w:pPr>
      <w:r>
        <w:t xml:space="preserve">Key screens to prioritize for a 'beautiful UI' first impression: (1) Farmer listing screen with voice input + camera capture, (2) Live price computation screen showing the OSP breakdown (like the worked example table), (3) Buyer marketplace grid with quality-grade badges, (4) Order tracking screen with the numbered delivery-flow visual, (5) Escrow/payment status screen with a clear locked→released indicator</w:t>
      </w:r>
    </w:p>
    <w:p>
      <w:pPr>
        <w:pStyle w:val="ListParagraph"/>
        <w:numPr>
          <w:ilvl w:val="0"/>
          <w:numId w:val="2"/>
        </w:numPr>
        <w:spacing w:after="80"/>
      </w:pPr>
      <w:r>
        <w:t xml:space="preserve">Mobile-first, responsive: design for a phone screen first (farmers and buyers are primarily on mobile), then adapt to web/tablet</w:t>
      </w:r>
    </w:p>
    <w:p>
      <w:pPr>
        <w:pStyle w:val="Heading1"/>
        <w:spacing w:after="150" w:before="300"/>
      </w:pPr>
      <w: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3931"/>
        <w:gridCol w:w="3931"/>
      </w:tblGrid>
      <w:tr>
        <w:tc>
          <w:tcPr>
            <w:tcW w:type="dxa" w:w="1498"/>
            <w:shd w:fill="D9E8DD"/>
            <w:tcMar>
              <w:top w:type="dxa" w:w="80"/>
              <w:left w:type="dxa" w:w="100"/>
              <w:bottom w:type="dxa" w:w="80"/>
              <w:right w:type="dxa" w:w="100"/>
            </w:tcMar>
          </w:tcPr>
          <w:p>
            <w:r>
              <w:rPr>
                <w:b/>
                <w:bCs/>
                <w:sz w:val="20"/>
                <w:szCs w:val="20"/>
              </w:rPr>
              <w:t xml:space="preserve">Layer</w:t>
            </w:r>
          </w:p>
        </w:tc>
        <w:tc>
          <w:tcPr>
            <w:tcW w:type="dxa" w:w="3931"/>
            <w:shd w:fill="D9E8DD"/>
            <w:tcMar>
              <w:top w:type="dxa" w:w="80"/>
              <w:left w:type="dxa" w:w="100"/>
              <w:bottom w:type="dxa" w:w="80"/>
              <w:right w:type="dxa" w:w="100"/>
            </w:tcMar>
          </w:tcPr>
          <w:p>
            <w:r>
              <w:rPr>
                <w:b/>
                <w:bCs/>
                <w:sz w:val="20"/>
                <w:szCs w:val="20"/>
              </w:rPr>
              <w:t xml:space="preserve">Recommended</w:t>
            </w:r>
          </w:p>
        </w:tc>
        <w:tc>
          <w:tcPr>
            <w:tcW w:type="dxa" w:w="3931"/>
            <w:shd w:fill="D9E8DD"/>
            <w:tcMar>
              <w:top w:type="dxa" w:w="80"/>
              <w:left w:type="dxa" w:w="100"/>
              <w:bottom w:type="dxa" w:w="80"/>
              <w:right w:type="dxa" w:w="100"/>
            </w:tcMar>
          </w:tcPr>
          <w:p>
            <w:r>
              <w:rPr>
                <w:b/>
                <w:bCs/>
                <w:sz w:val="20"/>
                <w:szCs w:val="20"/>
              </w:rPr>
              <w:t xml:space="preserve">Fast-Track Alternative</w:t>
            </w:r>
          </w:p>
        </w:tc>
      </w:tr>
      <w:tr>
        <w:tc>
          <w:tcPr>
            <w:tcW w:type="dxa" w:w="1498"/>
            <w:tcMar>
              <w:top w:type="dxa" w:w="80"/>
              <w:left w:type="dxa" w:w="100"/>
              <w:bottom w:type="dxa" w:w="80"/>
              <w:right w:type="dxa" w:w="100"/>
            </w:tcMar>
          </w:tcPr>
          <w:p>
            <w:r>
              <w:rPr>
                <w:b w:val="false"/>
                <w:bCs w:val="false"/>
                <w:sz w:val="20"/>
                <w:szCs w:val="20"/>
              </w:rPr>
              <w:t xml:space="preserve">Frontend</w:t>
            </w:r>
          </w:p>
        </w:tc>
        <w:tc>
          <w:tcPr>
            <w:tcW w:type="dxa" w:w="3931"/>
            <w:tcMar>
              <w:top w:type="dxa" w:w="80"/>
              <w:left w:type="dxa" w:w="100"/>
              <w:bottom w:type="dxa" w:w="80"/>
              <w:right w:type="dxa" w:w="100"/>
            </w:tcMar>
          </w:tcPr>
          <w:p>
            <w:r>
              <w:rPr>
                <w:b w:val="false"/>
                <w:bCs w:val="false"/>
                <w:sz w:val="20"/>
                <w:szCs w:val="20"/>
              </w:rPr>
              <w:t xml:space="preserve">Flutter (mobile), multilingual + voice input</w:t>
            </w:r>
          </w:p>
        </w:tc>
        <w:tc>
          <w:tcPr>
            <w:tcW w:type="dxa" w:w="3931"/>
            <w:tcMar>
              <w:top w:type="dxa" w:w="80"/>
              <w:left w:type="dxa" w:w="100"/>
              <w:bottom w:type="dxa" w:w="80"/>
              <w:right w:type="dxa" w:w="100"/>
            </w:tcMar>
          </w:tcPr>
          <w:p>
            <w:r>
              <w:rPr>
                <w:b w:val="false"/>
                <w:bCs w:val="false"/>
                <w:sz w:val="20"/>
                <w:szCs w:val="20"/>
              </w:rPr>
              <w:t xml:space="preserve">React web app</w:t>
            </w:r>
          </w:p>
        </w:tc>
      </w:tr>
      <w:tr>
        <w:tc>
          <w:tcPr>
            <w:tcW w:type="dxa" w:w="1498"/>
            <w:tcMar>
              <w:top w:type="dxa" w:w="80"/>
              <w:left w:type="dxa" w:w="100"/>
              <w:bottom w:type="dxa" w:w="80"/>
              <w:right w:type="dxa" w:w="100"/>
            </w:tcMar>
          </w:tcPr>
          <w:p>
            <w:r>
              <w:rPr>
                <w:b w:val="false"/>
                <w:bCs w:val="false"/>
                <w:sz w:val="20"/>
                <w:szCs w:val="20"/>
              </w:rPr>
              <w:t xml:space="preserve">Backend</w:t>
            </w:r>
          </w:p>
        </w:tc>
        <w:tc>
          <w:tcPr>
            <w:tcW w:type="dxa" w:w="3931"/>
            <w:tcMar>
              <w:top w:type="dxa" w:w="80"/>
              <w:left w:type="dxa" w:w="100"/>
              <w:bottom w:type="dxa" w:w="80"/>
              <w:right w:type="dxa" w:w="100"/>
            </w:tcMar>
          </w:tcPr>
          <w:p>
            <w:r>
              <w:rPr>
                <w:b w:val="false"/>
                <w:bCs w:val="false"/>
                <w:sz w:val="20"/>
                <w:szCs w:val="20"/>
              </w:rPr>
              <w:t xml:space="preserve">Node.js/Express</w:t>
            </w:r>
          </w:p>
        </w:tc>
        <w:tc>
          <w:tcPr>
            <w:tcW w:type="dxa" w:w="3931"/>
            <w:tcMar>
              <w:top w:type="dxa" w:w="80"/>
              <w:left w:type="dxa" w:w="100"/>
              <w:bottom w:type="dxa" w:w="80"/>
              <w:right w:type="dxa" w:w="100"/>
            </w:tcMar>
          </w:tcPr>
          <w:p>
            <w:r>
              <w:rPr>
                <w:b w:val="false"/>
                <w:bCs w:val="false"/>
                <w:sz w:val="20"/>
                <w:szCs w:val="20"/>
              </w:rPr>
              <w:t xml:space="preserve">Python/FastAPI</w:t>
            </w:r>
          </w:p>
        </w:tc>
      </w:tr>
      <w:tr>
        <w:tc>
          <w:tcPr>
            <w:tcW w:type="dxa" w:w="1498"/>
            <w:tcMar>
              <w:top w:type="dxa" w:w="80"/>
              <w:left w:type="dxa" w:w="100"/>
              <w:bottom w:type="dxa" w:w="80"/>
              <w:right w:type="dxa" w:w="100"/>
            </w:tcMar>
          </w:tcPr>
          <w:p>
            <w:r>
              <w:rPr>
                <w:b w:val="false"/>
                <w:bCs w:val="false"/>
                <w:sz w:val="20"/>
                <w:szCs w:val="20"/>
              </w:rPr>
              <w:t xml:space="preserve">Database</w:t>
            </w:r>
          </w:p>
        </w:tc>
        <w:tc>
          <w:tcPr>
            <w:tcW w:type="dxa" w:w="3931"/>
            <w:tcMar>
              <w:top w:type="dxa" w:w="80"/>
              <w:left w:type="dxa" w:w="100"/>
              <w:bottom w:type="dxa" w:w="80"/>
              <w:right w:type="dxa" w:w="100"/>
            </w:tcMar>
          </w:tcPr>
          <w:p>
            <w:r>
              <w:rPr>
                <w:b w:val="false"/>
                <w:bCs w:val="false"/>
                <w:sz w:val="20"/>
                <w:szCs w:val="20"/>
              </w:rPr>
              <w:t xml:space="preserve">PostgreSQL</w:t>
            </w:r>
          </w:p>
        </w:tc>
        <w:tc>
          <w:tcPr>
            <w:tcW w:type="dxa" w:w="3931"/>
            <w:tcMar>
              <w:top w:type="dxa" w:w="80"/>
              <w:left w:type="dxa" w:w="100"/>
              <w:bottom w:type="dxa" w:w="80"/>
              <w:right w:type="dxa" w:w="100"/>
            </w:tcMar>
          </w:tcPr>
          <w:p>
            <w:r>
              <w:rPr>
                <w:b w:val="false"/>
                <w:bCs w:val="false"/>
                <w:sz w:val="20"/>
                <w:szCs w:val="20"/>
              </w:rPr>
              <w:t xml:space="preserve">SQLite or Firebase</w:t>
            </w:r>
          </w:p>
        </w:tc>
      </w:tr>
      <w:tr>
        <w:tc>
          <w:tcPr>
            <w:tcW w:type="dxa" w:w="1498"/>
            <w:tcMar>
              <w:top w:type="dxa" w:w="80"/>
              <w:left w:type="dxa" w:w="100"/>
              <w:bottom w:type="dxa" w:w="80"/>
              <w:right w:type="dxa" w:w="100"/>
            </w:tcMar>
          </w:tcPr>
          <w:p>
            <w:r>
              <w:rPr>
                <w:b w:val="false"/>
                <w:bCs w:val="false"/>
                <w:sz w:val="20"/>
                <w:szCs w:val="20"/>
              </w:rPr>
              <w:t xml:space="preserve">ML/CV</w:t>
            </w:r>
          </w:p>
        </w:tc>
        <w:tc>
          <w:tcPr>
            <w:tcW w:type="dxa" w:w="3931"/>
            <w:tcMar>
              <w:top w:type="dxa" w:w="80"/>
              <w:left w:type="dxa" w:w="100"/>
              <w:bottom w:type="dxa" w:w="80"/>
              <w:right w:type="dxa" w:w="100"/>
            </w:tcMar>
          </w:tcPr>
          <w:p>
            <w:r>
              <w:rPr>
                <w:b w:val="false"/>
                <w:bCs w:val="false"/>
                <w:sz w:val="20"/>
                <w:szCs w:val="20"/>
              </w:rPr>
              <w:t xml:space="preserve">TensorFlow Lite (on-device) + EfficientNet (cloud)</w:t>
            </w:r>
          </w:p>
        </w:tc>
        <w:tc>
          <w:tcPr>
            <w:tcW w:type="dxa" w:w="3931"/>
            <w:tcMar>
              <w:top w:type="dxa" w:w="80"/>
              <w:left w:type="dxa" w:w="100"/>
              <w:bottom w:type="dxa" w:w="80"/>
              <w:right w:type="dxa" w:w="100"/>
            </w:tcMar>
          </w:tcPr>
          <w:p>
            <w:r>
              <w:rPr>
                <w:b w:val="false"/>
                <w:bCs w:val="false"/>
                <w:sz w:val="20"/>
                <w:szCs w:val="20"/>
              </w:rPr>
              <w:t xml:space="preserve">Rule-based heuristic or small Kaggle-trained classifier</w:t>
            </w:r>
          </w:p>
        </w:tc>
      </w:tr>
      <w:tr>
        <w:tc>
          <w:tcPr>
            <w:tcW w:type="dxa" w:w="1498"/>
            <w:tcMar>
              <w:top w:type="dxa" w:w="80"/>
              <w:left w:type="dxa" w:w="100"/>
              <w:bottom w:type="dxa" w:w="80"/>
              <w:right w:type="dxa" w:w="100"/>
            </w:tcMar>
          </w:tcPr>
          <w:p>
            <w:r>
              <w:rPr>
                <w:b w:val="false"/>
                <w:bCs w:val="false"/>
                <w:sz w:val="20"/>
                <w:szCs w:val="20"/>
              </w:rPr>
              <w:t xml:space="preserve">Pricing Engine</w:t>
            </w:r>
          </w:p>
        </w:tc>
        <w:tc>
          <w:tcPr>
            <w:tcW w:type="dxa" w:w="3931"/>
            <w:tcMar>
              <w:top w:type="dxa" w:w="80"/>
              <w:left w:type="dxa" w:w="100"/>
              <w:bottom w:type="dxa" w:w="80"/>
              <w:right w:type="dxa" w:w="100"/>
            </w:tcMar>
          </w:tcPr>
          <w:p>
            <w:r>
              <w:rPr>
                <w:b w:val="false"/>
                <w:bCs w:val="false"/>
                <w:sz w:val="20"/>
                <w:szCs w:val="20"/>
              </w:rPr>
              <w:t xml:space="preserve">Python + Regression/XGBoost</w:t>
            </w:r>
          </w:p>
        </w:tc>
        <w:tc>
          <w:tcPr>
            <w:tcW w:type="dxa" w:w="3931"/>
            <w:tcMar>
              <w:top w:type="dxa" w:w="80"/>
              <w:left w:type="dxa" w:w="100"/>
              <w:bottom w:type="dxa" w:w="80"/>
              <w:right w:type="dxa" w:w="100"/>
            </w:tcMar>
          </w:tcPr>
          <w:p>
            <w:r>
              <w:rPr>
                <w:b w:val="false"/>
                <w:bCs w:val="false"/>
                <w:sz w:val="20"/>
                <w:szCs w:val="20"/>
              </w:rPr>
              <w:t xml:space="preserve">Simple weighted formula (Section 8) in any language</w:t>
            </w:r>
          </w:p>
        </w:tc>
      </w:tr>
      <w:tr>
        <w:tc>
          <w:tcPr>
            <w:tcW w:type="dxa" w:w="1498"/>
            <w:tcMar>
              <w:top w:type="dxa" w:w="80"/>
              <w:left w:type="dxa" w:w="100"/>
              <w:bottom w:type="dxa" w:w="80"/>
              <w:right w:type="dxa" w:w="100"/>
            </w:tcMar>
          </w:tcPr>
          <w:p>
            <w:r>
              <w:rPr>
                <w:b w:val="false"/>
                <w:bCs w:val="false"/>
                <w:sz w:val="20"/>
                <w:szCs w:val="20"/>
              </w:rPr>
              <w:t xml:space="preserve">Payments</w:t>
            </w:r>
          </w:p>
        </w:tc>
        <w:tc>
          <w:tcPr>
            <w:tcW w:type="dxa" w:w="3931"/>
            <w:tcMar>
              <w:top w:type="dxa" w:w="80"/>
              <w:left w:type="dxa" w:w="100"/>
              <w:bottom w:type="dxa" w:w="80"/>
              <w:right w:type="dxa" w:w="100"/>
            </w:tcMar>
          </w:tcPr>
          <w:p>
            <w:r>
              <w:rPr>
                <w:b w:val="false"/>
                <w:bCs w:val="false"/>
                <w:sz w:val="20"/>
                <w:szCs w:val="20"/>
              </w:rPr>
              <w:t xml:space="preserve">UPI/Razorpay Escrow (sandbox/test mode)</w:t>
            </w:r>
          </w:p>
        </w:tc>
        <w:tc>
          <w:tcPr>
            <w:tcW w:type="dxa" w:w="3931"/>
            <w:tcMar>
              <w:top w:type="dxa" w:w="80"/>
              <w:left w:type="dxa" w:w="100"/>
              <w:bottom w:type="dxa" w:w="80"/>
              <w:right w:type="dxa" w:w="100"/>
            </w:tcMar>
          </w:tcPr>
          <w:p>
            <w:r>
              <w:rPr>
                <w:b w:val="false"/>
                <w:bCs w:val="false"/>
                <w:sz w:val="20"/>
                <w:szCs w:val="20"/>
              </w:rPr>
              <w:t xml:space="preserve">Mocked escrow state machine (no real gateway)</w:t>
            </w:r>
          </w:p>
        </w:tc>
      </w:tr>
      <w:tr>
        <w:tc>
          <w:tcPr>
            <w:tcW w:type="dxa" w:w="1498"/>
            <w:tcMar>
              <w:top w:type="dxa" w:w="80"/>
              <w:left w:type="dxa" w:w="100"/>
              <w:bottom w:type="dxa" w:w="80"/>
              <w:right w:type="dxa" w:w="100"/>
            </w:tcMar>
          </w:tcPr>
          <w:p>
            <w:r>
              <w:rPr>
                <w:b w:val="false"/>
                <w:bCs w:val="false"/>
                <w:sz w:val="20"/>
                <w:szCs w:val="20"/>
              </w:rPr>
              <w:t xml:space="preserve">Maps/GPS</w:t>
            </w:r>
          </w:p>
        </w:tc>
        <w:tc>
          <w:tcPr>
            <w:tcW w:type="dxa" w:w="3931"/>
            <w:tcMar>
              <w:top w:type="dxa" w:w="80"/>
              <w:left w:type="dxa" w:w="100"/>
              <w:bottom w:type="dxa" w:w="80"/>
              <w:right w:type="dxa" w:w="100"/>
            </w:tcMar>
          </w:tcPr>
          <w:p>
            <w:r>
              <w:rPr>
                <w:b w:val="false"/>
                <w:bCs w:val="false"/>
                <w:sz w:val="20"/>
                <w:szCs w:val="20"/>
              </w:rPr>
              <w:t xml:space="preserve">Google Maps API</w:t>
            </w:r>
          </w:p>
        </w:tc>
        <w:tc>
          <w:tcPr>
            <w:tcW w:type="dxa" w:w="3931"/>
            <w:tcMar>
              <w:top w:type="dxa" w:w="80"/>
              <w:left w:type="dxa" w:w="100"/>
              <w:bottom w:type="dxa" w:w="80"/>
              <w:right w:type="dxa" w:w="100"/>
            </w:tcMar>
          </w:tcPr>
          <w:p>
            <w:r>
              <w:rPr>
                <w:b w:val="false"/>
                <w:bCs w:val="false"/>
                <w:sz w:val="20"/>
                <w:szCs w:val="20"/>
              </w:rPr>
              <w:t xml:space="preserve">Static/mock coordinates for geo-fence demo</w:t>
            </w:r>
          </w:p>
        </w:tc>
      </w:tr>
      <w:tr>
        <w:tc>
          <w:tcPr>
            <w:tcW w:type="dxa" w:w="1498"/>
            <w:tcMar>
              <w:top w:type="dxa" w:w="80"/>
              <w:left w:type="dxa" w:w="100"/>
              <w:bottom w:type="dxa" w:w="80"/>
              <w:right w:type="dxa" w:w="100"/>
            </w:tcMar>
          </w:tcPr>
          <w:p>
            <w:r>
              <w:rPr>
                <w:b w:val="false"/>
                <w:bCs w:val="false"/>
                <w:sz w:val="20"/>
                <w:szCs w:val="20"/>
              </w:rPr>
              <w:t xml:space="preserve">Fallback Access</w:t>
            </w:r>
          </w:p>
        </w:tc>
        <w:tc>
          <w:tcPr>
            <w:tcW w:type="dxa" w:w="3931"/>
            <w:tcMar>
              <w:top w:type="dxa" w:w="80"/>
              <w:left w:type="dxa" w:w="100"/>
              <w:bottom w:type="dxa" w:w="80"/>
              <w:right w:type="dxa" w:w="100"/>
            </w:tcMar>
          </w:tcPr>
          <w:p>
            <w:r>
              <w:rPr>
                <w:b w:val="false"/>
                <w:bCs w:val="false"/>
                <w:sz w:val="20"/>
                <w:szCs w:val="20"/>
              </w:rPr>
              <w:t xml:space="preserve">SMS/IVR gateway (Twilio/Exotel)</w:t>
            </w:r>
          </w:p>
        </w:tc>
        <w:tc>
          <w:tcPr>
            <w:tcW w:type="dxa" w:w="3931"/>
            <w:tcMar>
              <w:top w:type="dxa" w:w="80"/>
              <w:left w:type="dxa" w:w="100"/>
              <w:bottom w:type="dxa" w:w="80"/>
              <w:right w:type="dxa" w:w="100"/>
            </w:tcMar>
          </w:tcPr>
          <w:p>
            <w:r>
              <w:rPr>
                <w:b w:val="false"/>
                <w:bCs w:val="false"/>
                <w:sz w:val="20"/>
                <w:szCs w:val="20"/>
              </w:rPr>
              <w:t xml:space="preserve">Diagram only if time-constrained</w:t>
            </w:r>
          </w:p>
        </w:tc>
      </w:tr>
    </w:tbl>
    <w:p>
      <w:pPr>
        <w:pStyle w:val="Heading1"/>
        <w:spacing w:after="150" w:before="300"/>
      </w:pPr>
      <w:r>
        <w:t xml:space="preserve">14. Suggested Build Order</w:t>
      </w:r>
    </w:p>
    <w:p>
      <w:pPr>
        <w:pStyle w:val="ListParagraph"/>
        <w:numPr>
          <w:ilvl w:val="0"/>
          <w:numId w:val="2"/>
        </w:numPr>
        <w:spacing w:after="80"/>
      </w:pPr>
      <w:r>
        <w:t xml:space="preserve">Step 1: Backend skeleton + database schema (Section 7)</w:t>
      </w:r>
    </w:p>
    <w:p>
      <w:pPr>
        <w:pStyle w:val="ListParagraph"/>
        <w:numPr>
          <w:ilvl w:val="0"/>
          <w:numId w:val="2"/>
        </w:numPr>
        <w:spacing w:after="80"/>
      </w:pPr>
      <w:r>
        <w:t xml:space="preserve">Step 2: Farmer listing creation + image upload (grade hardcoded/manual initially)</w:t>
      </w:r>
    </w:p>
    <w:p>
      <w:pPr>
        <w:pStyle w:val="ListParagraph"/>
        <w:numPr>
          <w:ilvl w:val="0"/>
          <w:numId w:val="2"/>
        </w:numPr>
        <w:spacing w:after="80"/>
      </w:pPr>
      <w:r>
        <w:t xml:space="preserve">Step 3: Buyer-side browse/purchase flow against listing data</w:t>
      </w:r>
    </w:p>
    <w:p>
      <w:pPr>
        <w:pStyle w:val="ListParagraph"/>
        <w:numPr>
          <w:ilvl w:val="0"/>
          <w:numId w:val="2"/>
        </w:numPr>
        <w:spacing w:after="80"/>
      </w:pPr>
      <w:r>
        <w:t xml:space="preserve">Step 4: Pricing engine formula (Section 8) with mock mandi-price dataset</w:t>
      </w:r>
    </w:p>
    <w:p>
      <w:pPr>
        <w:pStyle w:val="ListParagraph"/>
        <w:numPr>
          <w:ilvl w:val="0"/>
          <w:numId w:val="2"/>
        </w:numPr>
        <w:spacing w:after="80"/>
      </w:pPr>
      <w:r>
        <w:t xml:space="preserve">Step 5: Sandbox payment/escrow flow (Razorpay test mode, or a mocked state machine if integration time is tight)</w:t>
      </w:r>
    </w:p>
    <w:p>
      <w:pPr>
        <w:pStyle w:val="ListParagraph"/>
        <w:numPr>
          <w:ilvl w:val="0"/>
          <w:numId w:val="2"/>
        </w:numPr>
        <w:spacing w:after="80"/>
      </w:pPr>
      <w:r>
        <w:t xml:space="preserve">Step 6: CV grading step (real model if time allows, else a clearly-labeled placeholder)</w:t>
      </w:r>
    </w:p>
    <w:p>
      <w:pPr>
        <w:pStyle w:val="ListParagraph"/>
        <w:numPr>
          <w:ilvl w:val="0"/>
          <w:numId w:val="2"/>
        </w:numPr>
        <w:spacing w:after="80"/>
      </w:pPr>
      <w:r>
        <w:t xml:space="preserve">Step 7: Offline-save simulation + delivery GPS/OTP verification step</w:t>
      </w:r>
    </w:p>
    <w:p>
      <w:pPr>
        <w:pStyle w:val="ListParagraph"/>
        <w:numPr>
          <w:ilvl w:val="0"/>
          <w:numId w:val="2"/>
        </w:numPr>
        <w:spacing w:after="80"/>
      </w:pPr>
      <w:r>
        <w:t xml:space="preserve">Step 8: Apply the UI design system (Section 12) across all screens; prepare the worked pricing example and a scripted end-to-end demo</w:t>
      </w:r>
    </w:p>
    <w:p>
      <w:pPr>
        <w:pStyle w:val="Heading1"/>
        <w:spacing w:after="150" w:before="300"/>
      </w:pPr>
      <w:r>
        <w:t xml:space="preserve">15. Legal &amp; Reference Context (for compliance-aware answers)</w:t>
      </w:r>
    </w:p>
    <w:p>
      <w:pPr>
        <w:pStyle w:val="ListParagraph"/>
        <w:numPr>
          <w:ilvl w:val="0"/>
          <w:numId w:val="2"/>
        </w:numPr>
        <w:spacing w:after="80"/>
      </w:pPr>
      <w:r>
        <w:t xml:space="preserve">Data protection: DPDP Act 2023 — govern any farmer/buyer personal data handling</w:t>
      </w:r>
    </w:p>
    <w:p>
      <w:pPr>
        <w:pStyle w:val="ListParagraph"/>
        <w:numPr>
          <w:ilvl w:val="0"/>
          <w:numId w:val="2"/>
        </w:numPr>
        <w:spacing w:after="80"/>
      </w:pPr>
      <w:r>
        <w:t xml:space="preserve">Food safety: FSSAI regulations — relevant if quality claims are made about produce</w:t>
      </w:r>
    </w:p>
    <w:p>
      <w:pPr>
        <w:pStyle w:val="ListParagraph"/>
        <w:numPr>
          <w:ilvl w:val="0"/>
          <w:numId w:val="2"/>
        </w:numPr>
        <w:spacing w:after="80"/>
      </w:pPr>
      <w:r>
        <w:t xml:space="preserve">Digital transactions: IT Act 2000</w:t>
      </w:r>
    </w:p>
    <w:p>
      <w:pPr>
        <w:pStyle w:val="ListParagraph"/>
        <w:numPr>
          <w:ilvl w:val="0"/>
          <w:numId w:val="2"/>
        </w:numPr>
        <w:spacing w:after="80"/>
      </w:pPr>
      <w:r>
        <w:t xml:space="preserve">Market regulation: Model APLM Act (agricultural produce marketing)</w:t>
      </w:r>
    </w:p>
    <w:p>
      <w:pPr>
        <w:pStyle w:val="ListParagraph"/>
        <w:numPr>
          <w:ilvl w:val="0"/>
          <w:numId w:val="2"/>
        </w:numPr>
        <w:spacing w:after="80"/>
      </w:pPr>
      <w:r>
        <w:t xml:space="preserve">Consumer protection: Consumer Protection Act</w:t>
      </w:r>
    </w:p>
    <w:p>
      <w:pPr>
        <w:pStyle w:val="ListParagraph"/>
        <w:numPr>
          <w:ilvl w:val="0"/>
          <w:numId w:val="2"/>
        </w:numPr>
        <w:spacing w:after="80"/>
      </w:pPr>
      <w:r>
        <w:t xml:space="preserve">Reference data sources: eNAM (enam.gov.in), Agmarknet (agmarknet.gov.in), FPO data via SFAC India (sfacindia.com), Ministry of Agriculture Digital Agriculture Mission</w:t>
      </w:r>
    </w:p>
    <w:p>
      <w:pPr>
        <w:pStyle w:val="Heading1"/>
        <w:spacing w:after="150" w:before="300"/>
      </w:pPr>
      <w:r>
        <w:t xml:space="preserve">16. Final Instructions for the Next AI</w:t>
      </w:r>
    </w:p>
    <w:p>
      <w:pPr>
        <w:spacing w:after="150"/>
      </w:pPr>
      <w:r>
        <w:t xml:space="preserve">Everything above is complete context — the problem, the solution, the architecture, the data model, the pricing formula with worked numbers, the CV pipeline, the escrow flow, the UI design system, and the build order. When asked to build any module, use the relevant section directly. Suggested first message to give: "Read this full document, then build [module/feature] using [chosen stack row from Section 13], following the UI design system in Section 12." No further explanation of the problem statement or solution should be necessary.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2026-09-24T10:48:20.468Z</dcterms:created>
  <dcterms:modified xsi:type="dcterms:W3CDTF">2026-09-24T10:48:20.468Z</dcterms:modified>
</cp:coreProperties>
</file>

<file path=docProps/custom.xml><?xml version="1.0" encoding="utf-8"?>
<Properties xmlns="http://schemas.openxmlformats.org/officeDocument/2006/custom-properties" xmlns:vt="http://schemas.openxmlformats.org/officeDocument/2006/docPropsVTypes"/>
</file>