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9DE" w:rsidRDefault="00550855">
      <w:pPr>
        <w:pStyle w:val="Default"/>
        <w:jc w:val="center"/>
        <w:rPr>
          <w:rFonts w:ascii="Times New Roman" w:hAnsi="Times New Roman"/>
          <w:b/>
          <w:bCs/>
          <w:sz w:val="28"/>
          <w:szCs w:val="28"/>
          <w:shd w:val="clear" w:color="auto" w:fill="FFFFFF"/>
        </w:rPr>
      </w:pPr>
      <w:r>
        <w:rPr>
          <w:rFonts w:ascii="Times New Roman" w:hAnsi="Times New Roman"/>
          <w:b/>
          <w:bCs/>
          <w:sz w:val="28"/>
          <w:szCs w:val="28"/>
          <w:shd w:val="clear" w:color="auto" w:fill="FFFFFF"/>
        </w:rPr>
        <w:t>SB 374, Postsecondary Education</w:t>
      </w:r>
    </w:p>
    <w:p w:rsidR="00B23462" w:rsidRDefault="00B23462">
      <w:pPr>
        <w:pStyle w:val="Default"/>
        <w:jc w:val="center"/>
        <w:rPr>
          <w:rFonts w:ascii="Times New Roman" w:eastAsia="Times New Roman" w:hAnsi="Times New Roman" w:cs="Times New Roman"/>
          <w:sz w:val="36"/>
          <w:szCs w:val="36"/>
          <w:shd w:val="clear" w:color="auto" w:fill="FFFFFF"/>
        </w:rPr>
      </w:pPr>
      <w:r>
        <w:rPr>
          <w:rFonts w:ascii="Times New Roman" w:hAnsi="Times New Roman"/>
          <w:b/>
          <w:bCs/>
          <w:sz w:val="28"/>
          <w:szCs w:val="28"/>
          <w:shd w:val="clear" w:color="auto" w:fill="FFFFFF"/>
        </w:rPr>
        <w:t>Vetoed June 14, 2017</w:t>
      </w:r>
      <w:bookmarkStart w:id="0" w:name="_GoBack"/>
      <w:bookmarkEnd w:id="0"/>
    </w:p>
    <w:p w:rsidR="008629DE" w:rsidRDefault="00550855">
      <w:pPr>
        <w:pStyle w:val="Default"/>
        <w:jc w:val="center"/>
        <w:rPr>
          <w:rFonts w:ascii="Times New Roman" w:eastAsia="Times New Roman" w:hAnsi="Times New Roman" w:cs="Times New Roman"/>
          <w:sz w:val="36"/>
          <w:szCs w:val="36"/>
          <w:shd w:val="clear" w:color="auto" w:fill="FFFFFF"/>
        </w:rPr>
      </w:pPr>
      <w:r>
        <w:rPr>
          <w:rFonts w:ascii="Times New Roman" w:hAnsi="Times New Roman"/>
          <w:sz w:val="36"/>
          <w:szCs w:val="36"/>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General</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Cites act as </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Florida Excellence in Higher Education Act of 2017</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Adds </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wasteful duplication of programs</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as part of the mission of Florida</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s K-20 education system.</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the DOE provide the same level </w:t>
      </w:r>
      <w:r>
        <w:rPr>
          <w:rFonts w:ascii="Times New Roman" w:hAnsi="Times New Roman"/>
          <w:sz w:val="36"/>
          <w:szCs w:val="36"/>
          <w:u w:color="000000"/>
          <w:shd w:val="clear" w:color="auto" w:fill="FFFFFF"/>
        </w:rPr>
        <w:t>of support to the SBCC as it does to the BOG.</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Removes the Division of Florida Colleges from the DOE.</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HECC also submit its annual report to the State Board of Community Colleges.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Establishes the primary mission of a career center is to</w:t>
      </w:r>
      <w:r>
        <w:rPr>
          <w:rFonts w:ascii="Times New Roman" w:hAnsi="Times New Roman"/>
          <w:u w:color="000000"/>
          <w:shd w:val="clear" w:color="auto" w:fill="FFFFFF"/>
        </w:rPr>
        <w:t xml:space="preserve"> pr</w:t>
      </w:r>
      <w:r>
        <w:rPr>
          <w:rFonts w:ascii="Times New Roman" w:hAnsi="Times New Roman"/>
          <w:u w:color="000000"/>
          <w:shd w:val="clear" w:color="auto" w:fill="FFFFFF"/>
        </w:rPr>
        <w:t>omote advances and innovations in workforce preparation and economic development.</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u w:color="000000"/>
          <w:shd w:val="clear" w:color="auto" w:fill="FFFFFF"/>
        </w:rPr>
        <w:t>Requires each district school board to notify students who enroll in articulated acceleration mechanism courses or take examinations of the credit-by- examination equivalen</w:t>
      </w:r>
      <w:r>
        <w:rPr>
          <w:rFonts w:ascii="Times New Roman" w:hAnsi="Times New Roman"/>
          <w:u w:color="000000"/>
          <w:shd w:val="clear" w:color="auto" w:fill="FFFFFF"/>
        </w:rPr>
        <w:t>cy list adopted by rule by the SBE and the dual enrollment course and high school subject area equivalencies approved by the state board.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u w:color="000000"/>
          <w:shd w:val="clear" w:color="auto" w:fill="FFFFFF"/>
        </w:rPr>
        <w:t>Clarifies developmental education instruction pursuant to the instructional strategies described in s.1008.02(1), F.</w:t>
      </w:r>
      <w:r>
        <w:rPr>
          <w:rFonts w:ascii="Times New Roman" w:hAnsi="Times New Roman"/>
          <w:u w:color="000000"/>
          <w:shd w:val="clear" w:color="auto" w:fill="FFFFFF"/>
        </w:rPr>
        <w:t>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Tuition, Fees, Grants, and Scholarships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u w:color="000000"/>
          <w:shd w:val="clear" w:color="auto" w:fill="FFFFFF"/>
        </w:rPr>
        <w:t>Clarifies that the technology fee may not be included in a Bright Futures Scholarship Program award except for the Florida Academic Scholars award.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b/>
          <w:bCs/>
          <w:i/>
          <w:iCs/>
          <w:u w:color="000000"/>
          <w:shd w:val="clear" w:color="auto" w:fill="FFFFFF"/>
        </w:rPr>
        <w:t>Bright Futures</w:t>
      </w:r>
      <w:r>
        <w:rPr>
          <w:rFonts w:ascii="Times New Roman" w:hAnsi="Times New Roman"/>
          <w:u w:color="000000"/>
          <w:shd w:val="clear" w:color="auto" w:fill="FFFFFF"/>
        </w:rPr>
        <w:t xml:space="preserve"> - provides for funds in the GAA to support, </w:t>
      </w:r>
      <w:r>
        <w:rPr>
          <w:rFonts w:ascii="Times New Roman" w:hAnsi="Times New Roman"/>
          <w:u w:color="000000"/>
          <w:shd w:val="clear" w:color="auto" w:fill="FFFFFF"/>
        </w:rPr>
        <w:t>at a minimum, summer term enrollment for a Florida Academic Scholars (FAS) award.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b/>
          <w:bCs/>
          <w:i/>
          <w:iCs/>
          <w:u w:color="000000"/>
          <w:shd w:val="clear" w:color="auto" w:fill="FFFFFF"/>
        </w:rPr>
        <w:t>Florida Academic Scholars Award</w:t>
      </w:r>
      <w:r>
        <w:rPr>
          <w:rFonts w:ascii="Times New Roman" w:hAnsi="Times New Roman"/>
          <w:u w:color="000000"/>
          <w:shd w:val="clear" w:color="auto" w:fill="FFFFFF"/>
        </w:rPr>
        <w:t xml:space="preserve"> – </w:t>
      </w:r>
      <w:r>
        <w:rPr>
          <w:rFonts w:ascii="Times New Roman" w:hAnsi="Times New Roman"/>
          <w:u w:color="000000"/>
          <w:shd w:val="clear" w:color="auto" w:fill="FFFFFF"/>
        </w:rPr>
        <w:t xml:space="preserve">Modifies the FAS award amount to include 100% of public postsecondary institution tuition and certain tuition-indexed fees plus $300 for </w:t>
      </w:r>
      <w:r>
        <w:rPr>
          <w:rFonts w:ascii="Times New Roman" w:hAnsi="Times New Roman"/>
          <w:u w:color="000000"/>
          <w:shd w:val="clear" w:color="auto" w:fill="FFFFFF"/>
        </w:rPr>
        <w:t>textbooks and college-related expenses during fall and spring terms, beginning in the fall 2017 semester.</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b/>
          <w:bCs/>
          <w:i/>
          <w:iCs/>
          <w:sz w:val="36"/>
          <w:szCs w:val="36"/>
          <w:u w:color="000000"/>
          <w:shd w:val="clear" w:color="auto" w:fill="FFFFFF"/>
        </w:rPr>
        <w:t>First Generation Matching Grant Program</w:t>
      </w:r>
      <w:r>
        <w:rPr>
          <w:rFonts w:ascii="Times New Roman" w:hAnsi="Times New Roman"/>
          <w:sz w:val="36"/>
          <w:szCs w:val="36"/>
          <w:u w:color="000000"/>
          <w:shd w:val="clear" w:color="auto" w:fill="FFFFFF"/>
        </w:rPr>
        <w:t xml:space="preserve"> - Expands need-based financial aid by revising the state-to-private match requirements from a 1:1 match to a</w:t>
      </w:r>
      <w:r>
        <w:rPr>
          <w:rFonts w:ascii="Times New Roman" w:hAnsi="Times New Roman"/>
          <w:sz w:val="36"/>
          <w:szCs w:val="36"/>
          <w:u w:color="000000"/>
          <w:shd w:val="clear" w:color="auto" w:fill="FFFFFF"/>
        </w:rPr>
        <w:t xml:space="preserve"> 2:1 match.</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lastRenderedPageBreak/>
        <w:t></w:t>
      </w:r>
      <w:r>
        <w:rPr>
          <w:rFonts w:ascii="Symbol" w:hAnsi="Symbol"/>
          <w:sz w:val="36"/>
          <w:szCs w:val="36"/>
          <w:u w:color="000000"/>
          <w:shd w:val="clear" w:color="auto" w:fill="FFFFFF"/>
        </w:rPr>
        <w:t></w:t>
      </w:r>
      <w:r>
        <w:rPr>
          <w:rFonts w:ascii="Times New Roman" w:hAnsi="Times New Roman"/>
          <w:b/>
          <w:bCs/>
          <w:i/>
          <w:iCs/>
          <w:sz w:val="36"/>
          <w:szCs w:val="36"/>
          <w:u w:color="000000"/>
          <w:shd w:val="clear" w:color="auto" w:fill="FFFFFF"/>
          <w:lang w:val="de-DE"/>
        </w:rPr>
        <w:t>FRAG</w:t>
      </w:r>
      <w:r>
        <w:rPr>
          <w:rFonts w:ascii="Times New Roman" w:hAnsi="Times New Roman"/>
          <w:sz w:val="36"/>
          <w:szCs w:val="36"/>
          <w:u w:color="000000"/>
          <w:shd w:val="clear" w:color="auto" w:fill="FFFFFF"/>
        </w:rPr>
        <w:t xml:space="preserve"> - Changes the name of the program from the Florida Resident Access Grant (FRAG) to the Effective Access to Student Education (EASE) Program.</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b/>
          <w:bCs/>
          <w:i/>
          <w:iCs/>
          <w:sz w:val="36"/>
          <w:szCs w:val="36"/>
          <w:u w:color="000000"/>
          <w:shd w:val="clear" w:color="auto" w:fill="FFFFFF"/>
          <w:lang w:val="it-IT"/>
        </w:rPr>
        <w:t>Benacquisto Scholarship Program</w:t>
      </w:r>
      <w:r>
        <w:rPr>
          <w:rFonts w:ascii="Times New Roman" w:hAnsi="Times New Roman"/>
          <w:sz w:val="36"/>
          <w:szCs w:val="36"/>
          <w:u w:color="000000"/>
          <w:shd w:val="clear" w:color="auto" w:fill="FFFFFF"/>
        </w:rPr>
        <w:t xml:space="preserve"> – </w:t>
      </w:r>
      <w:r>
        <w:rPr>
          <w:rFonts w:ascii="Times New Roman" w:hAnsi="Times New Roman"/>
          <w:sz w:val="36"/>
          <w:szCs w:val="36"/>
          <w:u w:color="000000"/>
          <w:shd w:val="clear" w:color="auto" w:fill="FFFFFF"/>
        </w:rPr>
        <w:t>Expands student eligibility to out-of-state students.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b/>
          <w:bCs/>
          <w:i/>
          <w:iCs/>
          <w:sz w:val="36"/>
          <w:szCs w:val="36"/>
          <w:u w:color="000000"/>
          <w:shd w:val="clear" w:color="auto" w:fill="FFFFFF"/>
        </w:rPr>
        <w:t>Flor</w:t>
      </w:r>
      <w:r>
        <w:rPr>
          <w:rFonts w:ascii="Times New Roman" w:hAnsi="Times New Roman"/>
          <w:b/>
          <w:bCs/>
          <w:i/>
          <w:iCs/>
          <w:sz w:val="36"/>
          <w:szCs w:val="36"/>
          <w:u w:color="000000"/>
          <w:shd w:val="clear" w:color="auto" w:fill="FFFFFF"/>
        </w:rPr>
        <w:t>ida Farmworker Student Scholarship Program</w:t>
      </w:r>
      <w:r>
        <w:rPr>
          <w:rFonts w:ascii="Times New Roman" w:hAnsi="Times New Roman"/>
          <w:sz w:val="36"/>
          <w:szCs w:val="36"/>
          <w:u w:color="000000"/>
          <w:shd w:val="clear" w:color="auto" w:fill="FFFFFF"/>
        </w:rPr>
        <w:t xml:space="preserve"> – </w:t>
      </w:r>
      <w:r>
        <w:rPr>
          <w:rFonts w:ascii="Times New Roman" w:hAnsi="Times New Roman"/>
          <w:sz w:val="36"/>
          <w:szCs w:val="36"/>
          <w:u w:color="000000"/>
          <w:shd w:val="clear" w:color="auto" w:fill="FFFFFF"/>
        </w:rPr>
        <w:t xml:space="preserve">Creates a program where DOE may award up to 50 scholarships annually to farmworkers, as defined in s. 420.503, and the children of such farmworkers, who meet the scholarship eligibility criteria. </w:t>
      </w:r>
      <w:r>
        <w:rPr>
          <w:rFonts w:ascii="Times New Roman" w:hAnsi="Times New Roman"/>
          <w:sz w:val="36"/>
          <w:szCs w:val="36"/>
          <w:u w:color="000000"/>
          <w:shd w:val="clear" w:color="auto" w:fill="FFFFFF"/>
        </w:rPr>
        <w:t> </w:t>
      </w:r>
      <w:r>
        <w:rPr>
          <w:rFonts w:ascii="Times New Roman" w:hAnsi="Times New Roman"/>
          <w:sz w:val="36"/>
          <w:szCs w:val="36"/>
          <w:u w:color="000000"/>
          <w:shd w:val="clear" w:color="auto" w:fill="FFFFFF"/>
        </w:rPr>
        <w:t>Clarifies that</w:t>
      </w:r>
      <w:r>
        <w:rPr>
          <w:rFonts w:ascii="Times New Roman" w:hAnsi="Times New Roman"/>
          <w:sz w:val="36"/>
          <w:szCs w:val="36"/>
          <w:u w:color="000000"/>
          <w:shd w:val="clear" w:color="auto" w:fill="FFFFFF"/>
        </w:rPr>
        <w:t xml:space="preserve"> undocumented immigrants are not eligible for the scholarship.</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b/>
          <w:bCs/>
          <w:i/>
          <w:iCs/>
          <w:sz w:val="36"/>
          <w:szCs w:val="36"/>
          <w:u w:color="000000"/>
          <w:shd w:val="clear" w:color="auto" w:fill="FFFFFF"/>
        </w:rPr>
        <w:t>Florida Prepaid College Program</w:t>
      </w:r>
      <w:r>
        <w:rPr>
          <w:rFonts w:ascii="Times New Roman" w:hAnsi="Times New Roman"/>
          <w:sz w:val="36"/>
          <w:szCs w:val="36"/>
          <w:u w:color="000000"/>
          <w:shd w:val="clear" w:color="auto" w:fill="FFFFFF"/>
        </w:rPr>
        <w:t xml:space="preserve"> – </w:t>
      </w:r>
      <w:r>
        <w:rPr>
          <w:rFonts w:ascii="Times New Roman" w:hAnsi="Times New Roman"/>
          <w:sz w:val="36"/>
          <w:szCs w:val="36"/>
          <w:u w:color="000000"/>
          <w:shd w:val="clear" w:color="auto" w:fill="FFFFFF"/>
        </w:rPr>
        <w:t>Specifies that a Florida prepaid College Program plan purchased prior to July 1, 2024, is only obligated to pay for the credit hours in which a student is en</w:t>
      </w:r>
      <w:r>
        <w:rPr>
          <w:rFonts w:ascii="Times New Roman" w:hAnsi="Times New Roman"/>
          <w:sz w:val="36"/>
          <w:szCs w:val="36"/>
          <w:u w:color="000000"/>
          <w:shd w:val="clear" w:color="auto" w:fill="FFFFFF"/>
        </w:rPr>
        <w:t>rolled.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proofErr w:type="spellStart"/>
      <w:r>
        <w:rPr>
          <w:rFonts w:ascii="Times New Roman" w:hAnsi="Times New Roman"/>
          <w:b/>
          <w:bCs/>
          <w:i/>
          <w:iCs/>
          <w:sz w:val="36"/>
          <w:szCs w:val="36"/>
          <w:u w:color="000000"/>
          <w:shd w:val="clear" w:color="auto" w:fill="FFFFFF"/>
        </w:rPr>
        <w:t>Courtelis</w:t>
      </w:r>
      <w:proofErr w:type="spellEnd"/>
      <w:r>
        <w:rPr>
          <w:rFonts w:ascii="Times New Roman" w:hAnsi="Times New Roman"/>
          <w:b/>
          <w:bCs/>
          <w:i/>
          <w:iCs/>
          <w:sz w:val="36"/>
          <w:szCs w:val="36"/>
          <w:u w:color="000000"/>
          <w:shd w:val="clear" w:color="auto" w:fill="FFFFFF"/>
        </w:rPr>
        <w:t xml:space="preserve"> University Facility Enhancement Challenge Grant Program</w:t>
      </w:r>
      <w:r>
        <w:rPr>
          <w:rFonts w:ascii="Times New Roman" w:hAnsi="Times New Roman"/>
          <w:sz w:val="36"/>
          <w:szCs w:val="36"/>
          <w:u w:color="000000"/>
          <w:shd w:val="clear" w:color="auto" w:fill="FFFFFF"/>
        </w:rPr>
        <w:t xml:space="preserve"> – </w:t>
      </w:r>
      <w:r>
        <w:rPr>
          <w:rFonts w:ascii="Times New Roman" w:hAnsi="Times New Roman"/>
          <w:sz w:val="36"/>
          <w:szCs w:val="36"/>
          <w:u w:color="000000"/>
          <w:shd w:val="clear" w:color="auto" w:fill="FFFFFF"/>
        </w:rPr>
        <w:t>Maintains the temporary suspension of state matching funds and clarifies the Legislature may prioritize funding for specified projects.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lang w:val="fr-FR"/>
        </w:rPr>
        <w:t xml:space="preserve">Block </w:t>
      </w:r>
      <w:proofErr w:type="spellStart"/>
      <w:r>
        <w:rPr>
          <w:rFonts w:ascii="Times New Roman" w:hAnsi="Times New Roman"/>
          <w:b/>
          <w:bCs/>
          <w:sz w:val="36"/>
          <w:szCs w:val="36"/>
          <w:u w:val="single" w:color="000000"/>
          <w:shd w:val="clear" w:color="auto" w:fill="FFFFFF"/>
          <w:lang w:val="fr-FR"/>
        </w:rPr>
        <w:t>Tuition</w:t>
      </w:r>
      <w:proofErr w:type="spellEnd"/>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each university b</w:t>
      </w:r>
      <w:r>
        <w:rPr>
          <w:rFonts w:ascii="Times New Roman" w:hAnsi="Times New Roman"/>
          <w:sz w:val="36"/>
          <w:szCs w:val="36"/>
          <w:u w:color="000000"/>
          <w:shd w:val="clear" w:color="auto" w:fill="FFFFFF"/>
        </w:rPr>
        <w:t>oard of trustees adopt a block tuition policy for implementation beginning in the fall 2018 academic semester.</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The policy must apply to the entering freshman class of full-time, </w:t>
      </w:r>
      <w:proofErr w:type="gramStart"/>
      <w:r>
        <w:rPr>
          <w:rFonts w:ascii="Times New Roman" w:hAnsi="Times New Roman"/>
          <w:sz w:val="36"/>
          <w:szCs w:val="36"/>
          <w:u w:color="000000"/>
          <w:shd w:val="clear" w:color="auto" w:fill="FFFFFF"/>
        </w:rPr>
        <w:t xml:space="preserve">FTIC </w:t>
      </w:r>
      <w:r>
        <w:rPr>
          <w:rFonts w:ascii="Times New Roman" w:hAnsi="Times New Roman"/>
          <w:sz w:val="36"/>
          <w:szCs w:val="36"/>
          <w:u w:color="000000"/>
          <w:shd w:val="clear" w:color="auto" w:fill="FFFFFF"/>
        </w:rPr>
        <w:t> </w:t>
      </w:r>
      <w:r>
        <w:rPr>
          <w:rFonts w:ascii="Times New Roman" w:hAnsi="Times New Roman"/>
          <w:sz w:val="36"/>
          <w:szCs w:val="36"/>
          <w:u w:color="000000"/>
          <w:shd w:val="clear" w:color="auto" w:fill="FFFFFF"/>
        </w:rPr>
        <w:t>students</w:t>
      </w:r>
      <w:proofErr w:type="gramEnd"/>
      <w:r>
        <w:rPr>
          <w:rFonts w:ascii="Times New Roman" w:hAnsi="Times New Roman"/>
          <w:sz w:val="36"/>
          <w:szCs w:val="36"/>
          <w:u w:color="000000"/>
          <w:shd w:val="clear" w:color="auto" w:fill="FFFFFF"/>
        </w:rPr>
        <w:t xml:space="preserve"> and may be extended to include other enrolled students, and m</w:t>
      </w:r>
      <w:r>
        <w:rPr>
          <w:rFonts w:ascii="Times New Roman" w:hAnsi="Times New Roman"/>
          <w:sz w:val="36"/>
          <w:szCs w:val="36"/>
          <w:u w:color="000000"/>
          <w:shd w:val="clear" w:color="auto" w:fill="FFFFFF"/>
        </w:rPr>
        <w:t>ust meet the following criteria:</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Courier New" w:hAnsi="Courier New"/>
          <w:sz w:val="36"/>
          <w:szCs w:val="36"/>
          <w:u w:color="000000"/>
          <w:shd w:val="clear" w:color="auto" w:fill="FFFFFF"/>
        </w:rPr>
        <w:t xml:space="preserve">o </w:t>
      </w:r>
      <w:r>
        <w:rPr>
          <w:rFonts w:ascii="Times New Roman" w:hAnsi="Times New Roman"/>
          <w:sz w:val="36"/>
          <w:szCs w:val="36"/>
          <w:u w:color="000000"/>
          <w:shd w:val="clear" w:color="auto" w:fill="FFFFFF"/>
        </w:rPr>
        <w:t>must include block tuition and any required fees, including, but not limited to, activity and service fees, financial aid fees, capital improvement fees, health fees, and technology fees;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Courier New" w:hAnsi="Courier New"/>
          <w:sz w:val="36"/>
          <w:szCs w:val="36"/>
          <w:u w:color="000000"/>
          <w:shd w:val="clear" w:color="auto" w:fill="FFFFFF"/>
        </w:rPr>
        <w:lastRenderedPageBreak/>
        <w:t xml:space="preserve">o </w:t>
      </w:r>
      <w:r>
        <w:rPr>
          <w:rFonts w:ascii="Times New Roman" w:hAnsi="Times New Roman"/>
          <w:sz w:val="36"/>
          <w:szCs w:val="36"/>
          <w:u w:color="000000"/>
          <w:shd w:val="clear" w:color="auto" w:fill="FFFFFF"/>
        </w:rPr>
        <w:t xml:space="preserve">must require the university to </w:t>
      </w:r>
      <w:r>
        <w:rPr>
          <w:rFonts w:ascii="Times New Roman" w:hAnsi="Times New Roman"/>
          <w:sz w:val="36"/>
          <w:szCs w:val="36"/>
          <w:u w:color="000000"/>
          <w:shd w:val="clear" w:color="auto" w:fill="FFFFFF"/>
        </w:rPr>
        <w:t>maximize the application of appropriate accelerated credits to minimize unnecessary credits and excess hours; and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Courier New" w:hAnsi="Courier New"/>
          <w:sz w:val="36"/>
          <w:szCs w:val="36"/>
          <w:u w:color="000000"/>
          <w:shd w:val="clear" w:color="auto" w:fill="FFFFFF"/>
        </w:rPr>
        <w:t xml:space="preserve">o </w:t>
      </w:r>
      <w:r>
        <w:rPr>
          <w:rFonts w:ascii="Times New Roman" w:hAnsi="Times New Roman"/>
          <w:sz w:val="36"/>
          <w:szCs w:val="36"/>
          <w:u w:color="000000"/>
          <w:shd w:val="clear" w:color="auto" w:fill="FFFFFF"/>
        </w:rPr>
        <w:t>must enable students to have the flexibility to earn credits across all terms of the entire academic year.</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each university board </w:t>
      </w:r>
      <w:r>
        <w:rPr>
          <w:rFonts w:ascii="Times New Roman" w:hAnsi="Times New Roman"/>
          <w:sz w:val="36"/>
          <w:szCs w:val="36"/>
          <w:u w:color="000000"/>
          <w:shd w:val="clear" w:color="auto" w:fill="FFFFFF"/>
        </w:rPr>
        <w:t>of trustees, by Oct 1, 2017, adopt a block tuition and fee policy, for implementation by the fall 2018 academic semester and submit the policy, including, but not limited to, information on the potential impact of the policy on students, to the Board of Go</w:t>
      </w:r>
      <w:r>
        <w:rPr>
          <w:rFonts w:ascii="Times New Roman" w:hAnsi="Times New Roman"/>
          <w:sz w:val="36"/>
          <w:szCs w:val="36"/>
          <w:u w:color="000000"/>
          <w:shd w:val="clear" w:color="auto" w:fill="FFFFFF"/>
        </w:rPr>
        <w:t>vernors.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By Dec 1, 2017, the Chancellor of the SUS shall submit to the Governor, the President, and the Speaker a summary report of such policies, the status of the board</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s review and approval of such policies, and the board</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s recommendations for improvi</w:t>
      </w:r>
      <w:r>
        <w:rPr>
          <w:rFonts w:ascii="Times New Roman" w:hAnsi="Times New Roman"/>
          <w:sz w:val="36"/>
          <w:szCs w:val="36"/>
          <w:u w:color="000000"/>
          <w:shd w:val="clear" w:color="auto" w:fill="FFFFFF"/>
        </w:rPr>
        <w:t>ng block tuition and fee benefits for students.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Direct Support Organization (DSO)</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Beginning July 1, 2022, a state university board of trustees may not permit any university direct-support organization to use personal services.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Prohibits the use of st</w:t>
      </w:r>
      <w:r>
        <w:rPr>
          <w:rFonts w:ascii="Times New Roman" w:hAnsi="Times New Roman"/>
          <w:sz w:val="36"/>
          <w:szCs w:val="36"/>
          <w:u w:color="000000"/>
          <w:shd w:val="clear" w:color="auto" w:fill="FFFFFF"/>
        </w:rPr>
        <w:t>ate funds for travel expenses by any university direct-support organization.</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(rather than permit) the chair of each board of trustees appoint at least one (versus one) representative to the board of directors and the executive committee of a DSO</w:t>
      </w:r>
      <w:r>
        <w:rPr>
          <w:rFonts w:ascii="Times New Roman" w:hAnsi="Times New Roman"/>
          <w:sz w:val="36"/>
          <w:szCs w:val="36"/>
          <w:u w:color="000000"/>
          <w:shd w:val="clear" w:color="auto" w:fill="FFFFFF"/>
        </w:rPr>
        <w:t>.</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Prohibits a university DSO from giving to a political committee, without exception.</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disclosure of </w:t>
      </w:r>
      <w:r>
        <w:rPr>
          <w:rFonts w:ascii="Times New Roman" w:hAnsi="Times New Roman"/>
          <w:sz w:val="36"/>
          <w:szCs w:val="36"/>
          <w:u w:val="single" w:color="000000"/>
          <w:shd w:val="clear" w:color="auto" w:fill="FFFFFF"/>
        </w:rPr>
        <w:t>all expenditures</w:t>
      </w:r>
      <w:r>
        <w:rPr>
          <w:rFonts w:ascii="Times New Roman" w:hAnsi="Times New Roman"/>
          <w:sz w:val="36"/>
          <w:szCs w:val="36"/>
          <w:u w:color="000000"/>
          <w:shd w:val="clear" w:color="auto" w:fill="FFFFFF"/>
        </w:rPr>
        <w:t xml:space="preserve"> from state funds and disclosure of </w:t>
      </w:r>
      <w:r>
        <w:rPr>
          <w:rFonts w:ascii="Times New Roman" w:hAnsi="Times New Roman"/>
          <w:sz w:val="36"/>
          <w:szCs w:val="36"/>
          <w:u w:val="single" w:color="000000"/>
          <w:shd w:val="clear" w:color="auto" w:fill="FFFFFF"/>
        </w:rPr>
        <w:t xml:space="preserve">all </w:t>
      </w:r>
      <w:r>
        <w:rPr>
          <w:rFonts w:ascii="Times New Roman" w:hAnsi="Times New Roman"/>
          <w:b/>
          <w:bCs/>
          <w:sz w:val="36"/>
          <w:szCs w:val="36"/>
          <w:u w:val="single" w:color="000000"/>
          <w:shd w:val="clear" w:color="auto" w:fill="FFFFFF"/>
          <w:lang w:val="it-IT"/>
        </w:rPr>
        <w:t>travel</w:t>
      </w:r>
      <w:r>
        <w:rPr>
          <w:rFonts w:ascii="Times New Roman" w:hAnsi="Times New Roman"/>
          <w:sz w:val="36"/>
          <w:szCs w:val="36"/>
          <w:u w:val="single" w:color="000000"/>
          <w:shd w:val="clear" w:color="auto" w:fill="FFFFFF"/>
          <w:lang w:val="fr-FR"/>
        </w:rPr>
        <w:t xml:space="preserve"> </w:t>
      </w:r>
      <w:proofErr w:type="spellStart"/>
      <w:r>
        <w:rPr>
          <w:rFonts w:ascii="Times New Roman" w:hAnsi="Times New Roman"/>
          <w:sz w:val="36"/>
          <w:szCs w:val="36"/>
          <w:u w:val="single" w:color="000000"/>
          <w:shd w:val="clear" w:color="auto" w:fill="FFFFFF"/>
          <w:lang w:val="fr-FR"/>
        </w:rPr>
        <w:t>expenditures</w:t>
      </w:r>
      <w:proofErr w:type="spellEnd"/>
      <w:r>
        <w:rPr>
          <w:rFonts w:ascii="Times New Roman" w:hAnsi="Times New Roman"/>
          <w:sz w:val="36"/>
          <w:szCs w:val="36"/>
          <w:u w:color="000000"/>
          <w:shd w:val="clear" w:color="auto" w:fill="FFFFFF"/>
        </w:rPr>
        <w:t xml:space="preserve"> from private funds.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lastRenderedPageBreak/>
        <w:t xml:space="preserve">Performance-based funding Model </w:t>
      </w:r>
      <w:r>
        <w:rPr>
          <w:rFonts w:ascii="Times New Roman" w:hAnsi="Times New Roman"/>
          <w:b/>
          <w:bCs/>
          <w:sz w:val="36"/>
          <w:szCs w:val="36"/>
          <w:u w:val="single" w:color="000000"/>
          <w:shd w:val="clear" w:color="auto" w:fill="FFFFFF"/>
        </w:rPr>
        <w:t>(universities)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Board of Governors conduct a study of state investment allocation methodologies for the performance-based funding model. The study must include various options, including options in which each university may be eligible to rec</w:t>
      </w:r>
      <w:r>
        <w:rPr>
          <w:rFonts w:ascii="Times New Roman" w:hAnsi="Times New Roman"/>
          <w:sz w:val="36"/>
          <w:szCs w:val="36"/>
          <w:u w:color="000000"/>
          <w:shd w:val="clear" w:color="auto" w:fill="FFFFFF"/>
        </w:rPr>
        <w:t>eive some portion of the state investment based on benchmarks that reflect the institutional mission of each university and irrespective of their performance-based funding model score relative to other university scores.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The Board shall submit a report d</w:t>
      </w:r>
      <w:r>
        <w:rPr>
          <w:rFonts w:ascii="Times New Roman" w:hAnsi="Times New Roman"/>
          <w:sz w:val="36"/>
          <w:szCs w:val="36"/>
          <w:u w:color="000000"/>
          <w:shd w:val="clear" w:color="auto" w:fill="FFFFFF"/>
        </w:rPr>
        <w:t>escribing the study, and any action taken by the Board relative to the study, to the chairs of the House and Senate Education Appropriations Subcommittees by Dec 31, 2017.</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Changes PF graduation rate metric from 6-year to 4-year.</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Changes PF access rate </w:t>
      </w:r>
      <w:r>
        <w:rPr>
          <w:rFonts w:ascii="Times New Roman" w:hAnsi="Times New Roman"/>
          <w:sz w:val="36"/>
          <w:szCs w:val="36"/>
          <w:u w:color="000000"/>
          <w:shd w:val="clear" w:color="auto" w:fill="FFFFFF"/>
        </w:rPr>
        <w:t>metric to require benchmarks that reward institutions with access rates at or above 50%.</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Changes in PF metrics (graduation rate and access rate) do not apply to the Board</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 xml:space="preserve">s 2017 determination of ratings and funding. </w:t>
      </w:r>
      <w:r>
        <w:rPr>
          <w:rFonts w:ascii="Times New Roman" w:hAnsi="Times New Roman"/>
          <w:sz w:val="36"/>
          <w:szCs w:val="36"/>
          <w:u w:color="000000"/>
          <w:shd w:val="clear" w:color="auto" w:fill="FFFFFF"/>
        </w:rPr>
        <w:t> </w:t>
      </w:r>
      <w:r>
        <w:rPr>
          <w:rFonts w:ascii="Times New Roman" w:hAnsi="Times New Roman"/>
          <w:sz w:val="36"/>
          <w:szCs w:val="36"/>
          <w:u w:color="000000"/>
          <w:shd w:val="clear" w:color="auto" w:fill="FFFFFF"/>
        </w:rPr>
        <w:t>The Board will use metrics and benchm</w:t>
      </w:r>
      <w:r>
        <w:rPr>
          <w:rFonts w:ascii="Times New Roman" w:hAnsi="Times New Roman"/>
          <w:sz w:val="36"/>
          <w:szCs w:val="36"/>
          <w:u w:color="000000"/>
          <w:shd w:val="clear" w:color="auto" w:fill="FFFFFF"/>
        </w:rPr>
        <w:t>arks in place on January 1, 2017.</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Board of Governors Strategic Plan</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Board strategic plan to require state universities to use data-driven gap analyses to identify internship opportunities in high demand fields.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 xml:space="preserve">Preeminent State Research </w:t>
      </w:r>
      <w:r>
        <w:rPr>
          <w:rFonts w:ascii="Times New Roman" w:hAnsi="Times New Roman"/>
          <w:b/>
          <w:bCs/>
          <w:sz w:val="36"/>
          <w:szCs w:val="36"/>
          <w:u w:val="single" w:color="000000"/>
          <w:shd w:val="clear" w:color="auto" w:fill="FFFFFF"/>
        </w:rPr>
        <w:t>Universities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Revises the full-time FTIC student graduation rate metric to a 4-year rate of 60%.</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lastRenderedPageBreak/>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For the Board</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 xml:space="preserve">s 2017 determination of preeminence status and funding, current statutory metrics apply (6-year graduation rate of 70%). </w:t>
      </w:r>
      <w:r>
        <w:rPr>
          <w:rFonts w:ascii="Times New Roman" w:hAnsi="Times New Roman"/>
          <w:sz w:val="36"/>
          <w:szCs w:val="36"/>
          <w:u w:color="000000"/>
          <w:shd w:val="clear" w:color="auto" w:fill="FFFFFF"/>
        </w:rPr>
        <w:t> </w:t>
      </w:r>
      <w:r>
        <w:rPr>
          <w:rFonts w:ascii="Times New Roman" w:hAnsi="Times New Roman"/>
          <w:sz w:val="36"/>
          <w:szCs w:val="36"/>
          <w:u w:color="000000"/>
          <w:shd w:val="clear" w:color="auto" w:fill="FFFFFF"/>
        </w:rPr>
        <w:t>The Board will use m</w:t>
      </w:r>
      <w:r>
        <w:rPr>
          <w:rFonts w:ascii="Times New Roman" w:hAnsi="Times New Roman"/>
          <w:sz w:val="36"/>
          <w:szCs w:val="36"/>
          <w:u w:color="000000"/>
          <w:shd w:val="clear" w:color="auto" w:fill="FFFFFF"/>
        </w:rPr>
        <w:t>etrics and benchmarks in place on January 1, 2017.</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Changes funding for emerging preeminent state research universities </w:t>
      </w:r>
      <w:r>
        <w:rPr>
          <w:rFonts w:ascii="Times New Roman" w:hAnsi="Times New Roman"/>
          <w:b/>
          <w:bCs/>
          <w:sz w:val="36"/>
          <w:szCs w:val="36"/>
          <w:u w:color="000000"/>
          <w:shd w:val="clear" w:color="auto" w:fill="FFFFFF"/>
        </w:rPr>
        <w:t>from one-half to one-fourth</w:t>
      </w:r>
      <w:r>
        <w:rPr>
          <w:rFonts w:ascii="Times New Roman" w:hAnsi="Times New Roman"/>
          <w:sz w:val="36"/>
          <w:szCs w:val="36"/>
          <w:u w:color="000000"/>
          <w:shd w:val="clear" w:color="auto" w:fill="FFFFFF"/>
        </w:rPr>
        <w:t xml:space="preserve"> of total increased preeminence funding.</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Eliminates preeminent state universities</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 xml:space="preserve">authority to require </w:t>
      </w:r>
      <w:r>
        <w:rPr>
          <w:rFonts w:ascii="Times New Roman" w:hAnsi="Times New Roman"/>
          <w:sz w:val="36"/>
          <w:szCs w:val="36"/>
          <w:u w:color="000000"/>
          <w:shd w:val="clear" w:color="auto" w:fill="FFFFFF"/>
        </w:rPr>
        <w:t>FTIC students take a 6-credit unique set of courses.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Board establish standards and measures for programs of excellence, and requires recommendations to the Legislature by September 1, 2017.</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Changes graduation criteria from a 6-year to a 4-</w:t>
      </w:r>
      <w:r>
        <w:rPr>
          <w:rFonts w:ascii="Times New Roman" w:hAnsi="Times New Roman"/>
          <w:sz w:val="36"/>
          <w:szCs w:val="36"/>
          <w:u w:color="000000"/>
          <w:shd w:val="clear" w:color="auto" w:fill="FFFFFF"/>
        </w:rPr>
        <w:t>year rate for full-time, FTIC students to determine tuition differential.</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Clarifies that state university tuition differential fee may not be included in a Bright Futures award except as authorized for the FAS award.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 xml:space="preserve">World Class Faculty &amp; Scholar </w:t>
      </w:r>
      <w:r>
        <w:rPr>
          <w:rFonts w:ascii="Times New Roman" w:hAnsi="Times New Roman"/>
          <w:b/>
          <w:bCs/>
          <w:sz w:val="36"/>
          <w:szCs w:val="36"/>
          <w:u w:val="single" w:color="000000"/>
          <w:shd w:val="clear" w:color="auto" w:fill="FFFFFF"/>
        </w:rPr>
        <w:t>Program</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Creates a program to support the efforts of state universities to recruit and retain exemplary faculty and research scholars.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Retention, recruitment, and recognition efforts, activities, and investments may include, but are not limited to, inve</w:t>
      </w:r>
      <w:r>
        <w:rPr>
          <w:rFonts w:ascii="Times New Roman" w:hAnsi="Times New Roman"/>
          <w:sz w:val="36"/>
          <w:szCs w:val="36"/>
          <w:u w:color="000000"/>
          <w:shd w:val="clear" w:color="auto" w:fill="FFFFFF"/>
        </w:rPr>
        <w:t>stments in research-centric cluster hires, faculty research and research commercialization efforts, instructional and research infrastructure, undergraduate student participation in research, professional development, awards for outstanding performance, an</w:t>
      </w:r>
      <w:r>
        <w:rPr>
          <w:rFonts w:ascii="Times New Roman" w:hAnsi="Times New Roman"/>
          <w:sz w:val="36"/>
          <w:szCs w:val="36"/>
          <w:u w:color="000000"/>
          <w:shd w:val="clear" w:color="auto" w:fill="FFFFFF"/>
        </w:rPr>
        <w:t>d postdoctoral fellowships.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lastRenderedPageBreak/>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each state university use the funds only for the purpose and investments authorized. These funds </w:t>
      </w:r>
      <w:r>
        <w:rPr>
          <w:rFonts w:ascii="Times New Roman" w:hAnsi="Times New Roman"/>
          <w:sz w:val="36"/>
          <w:szCs w:val="36"/>
          <w:u w:val="single" w:color="000000"/>
          <w:shd w:val="clear" w:color="auto" w:fill="FFFFFF"/>
        </w:rPr>
        <w:t>may not</w:t>
      </w:r>
      <w:r>
        <w:rPr>
          <w:rFonts w:ascii="Times New Roman" w:hAnsi="Times New Roman"/>
          <w:sz w:val="36"/>
          <w:szCs w:val="36"/>
          <w:u w:color="000000"/>
          <w:shd w:val="clear" w:color="auto" w:fill="FFFFFF"/>
        </w:rPr>
        <w:t xml:space="preserve"> be used for the construction of buildings.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the Board submit a report by March 15 of each year to the </w:t>
      </w:r>
      <w:r>
        <w:rPr>
          <w:rFonts w:ascii="Times New Roman" w:hAnsi="Times New Roman"/>
          <w:sz w:val="36"/>
          <w:szCs w:val="36"/>
          <w:u w:color="000000"/>
          <w:shd w:val="clear" w:color="auto" w:fill="FFFFFF"/>
        </w:rPr>
        <w:t>Governor, President, and Speaker summarizing the information from the universities that includes: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Courier New" w:hAnsi="Courier New"/>
          <w:sz w:val="36"/>
          <w:szCs w:val="36"/>
          <w:u w:color="000000"/>
          <w:shd w:val="clear" w:color="auto" w:fill="FFFFFF"/>
        </w:rPr>
        <w:t xml:space="preserve">o </w:t>
      </w:r>
      <w:r>
        <w:rPr>
          <w:rFonts w:ascii="Times New Roman" w:hAnsi="Times New Roman"/>
          <w:sz w:val="36"/>
          <w:szCs w:val="36"/>
          <w:u w:color="000000"/>
          <w:shd w:val="clear" w:color="auto" w:fill="FFFFFF"/>
        </w:rPr>
        <w:t>Specific expenditure information as it relates to investments.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Courier New" w:hAnsi="Courier New"/>
          <w:sz w:val="36"/>
          <w:szCs w:val="36"/>
          <w:u w:color="000000"/>
          <w:shd w:val="clear" w:color="auto" w:fill="FFFFFF"/>
        </w:rPr>
        <w:t xml:space="preserve">o </w:t>
      </w:r>
      <w:r>
        <w:rPr>
          <w:rFonts w:ascii="Times New Roman" w:hAnsi="Times New Roman"/>
          <w:sz w:val="36"/>
          <w:szCs w:val="36"/>
          <w:u w:color="000000"/>
          <w:shd w:val="clear" w:color="auto" w:fill="FFFFFF"/>
        </w:rPr>
        <w:t>The impact of those investments in elevating the national competitiveness of the universiti</w:t>
      </w:r>
      <w:r>
        <w:rPr>
          <w:rFonts w:ascii="Times New Roman" w:hAnsi="Times New Roman"/>
          <w:sz w:val="36"/>
          <w:szCs w:val="36"/>
          <w:u w:color="000000"/>
          <w:shd w:val="clear" w:color="auto" w:fill="FFFFFF"/>
        </w:rPr>
        <w:t>es specifically relating to:</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success in recruiting research faculty and the resulting research funding;</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4-year graduation rate;</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number of undergraduate courses offered with fewer than 50 students; and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increased national academic sta</w:t>
      </w:r>
      <w:r>
        <w:rPr>
          <w:rFonts w:ascii="Times New Roman" w:hAnsi="Times New Roman"/>
          <w:sz w:val="36"/>
          <w:szCs w:val="36"/>
          <w:u w:color="000000"/>
          <w:shd w:val="clear" w:color="auto" w:fill="FFFFFF"/>
        </w:rPr>
        <w:t>nding of targeted 6795 programs, specifically advancement among top 50 universities in the targeted programs in well-known and highly respected national public university rankings, including, but not limited to, the U.S. News and World Report rankings, whi</w:t>
      </w:r>
      <w:r>
        <w:rPr>
          <w:rFonts w:ascii="Times New Roman" w:hAnsi="Times New Roman"/>
          <w:sz w:val="36"/>
          <w:szCs w:val="36"/>
          <w:u w:color="000000"/>
          <w:shd w:val="clear" w:color="auto" w:fill="FFFFFF"/>
        </w:rPr>
        <w:t>ch reflect national preeminence, using the most recent rankings.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State University Professional and Graduate Degree Excellence Program</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Creates a program to support the efforts of state universities to enhance the quality and excellence of professional </w:t>
      </w:r>
      <w:r>
        <w:rPr>
          <w:rFonts w:ascii="Times New Roman" w:hAnsi="Times New Roman"/>
          <w:sz w:val="36"/>
          <w:szCs w:val="36"/>
          <w:u w:color="000000"/>
          <w:shd w:val="clear" w:color="auto" w:fill="FFFFFF"/>
        </w:rPr>
        <w:t>and graduate schools and degree programs in medicine, law, and business and expand the economic impact of state universities.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Quality improvement efforts may include, but are not limited to, targeted investments in faculty, students, research, infrastruc</w:t>
      </w:r>
      <w:r>
        <w:rPr>
          <w:rFonts w:ascii="Times New Roman" w:hAnsi="Times New Roman"/>
          <w:sz w:val="36"/>
          <w:szCs w:val="36"/>
          <w:u w:color="000000"/>
          <w:shd w:val="clear" w:color="auto" w:fill="FFFFFF"/>
        </w:rPr>
        <w:t xml:space="preserve">ture, and other strategic endeavors to elevate the </w:t>
      </w:r>
      <w:r>
        <w:rPr>
          <w:rFonts w:ascii="Times New Roman" w:hAnsi="Times New Roman"/>
          <w:sz w:val="36"/>
          <w:szCs w:val="36"/>
          <w:u w:color="000000"/>
          <w:shd w:val="clear" w:color="auto" w:fill="FFFFFF"/>
        </w:rPr>
        <w:lastRenderedPageBreak/>
        <w:t>national and global prominence of state university medicine, law, and graduate-level business programs.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each state university use the funds only for the purpose and investments authorized. These</w:t>
      </w:r>
      <w:r>
        <w:rPr>
          <w:rFonts w:ascii="Times New Roman" w:hAnsi="Times New Roman"/>
          <w:sz w:val="36"/>
          <w:szCs w:val="36"/>
          <w:u w:color="000000"/>
          <w:shd w:val="clear" w:color="auto" w:fill="FFFFFF"/>
        </w:rPr>
        <w:t xml:space="preserve"> funds </w:t>
      </w:r>
      <w:r>
        <w:rPr>
          <w:rFonts w:ascii="Times New Roman" w:hAnsi="Times New Roman"/>
          <w:sz w:val="36"/>
          <w:szCs w:val="36"/>
          <w:u w:val="single" w:color="000000"/>
          <w:shd w:val="clear" w:color="auto" w:fill="FFFFFF"/>
        </w:rPr>
        <w:t>may not</w:t>
      </w:r>
      <w:r>
        <w:rPr>
          <w:rFonts w:ascii="Times New Roman" w:hAnsi="Times New Roman"/>
          <w:sz w:val="36"/>
          <w:szCs w:val="36"/>
          <w:u w:color="000000"/>
          <w:shd w:val="clear" w:color="auto" w:fill="FFFFFF"/>
        </w:rPr>
        <w:t xml:space="preserve"> be used for the construction of buildings.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Board submit a report by March 15 of each year to the Governor, President, and Speaker summarizing the information from the universities that includes: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Courier New" w:hAnsi="Courier New"/>
          <w:sz w:val="36"/>
          <w:szCs w:val="36"/>
          <w:u w:color="000000"/>
          <w:shd w:val="clear" w:color="auto" w:fill="FFFFFF"/>
        </w:rPr>
        <w:t xml:space="preserve">o </w:t>
      </w:r>
      <w:r>
        <w:rPr>
          <w:rFonts w:ascii="Times New Roman" w:hAnsi="Times New Roman"/>
          <w:sz w:val="36"/>
          <w:szCs w:val="36"/>
          <w:u w:color="000000"/>
          <w:shd w:val="clear" w:color="auto" w:fill="FFFFFF"/>
        </w:rPr>
        <w:t>Specific expenditure informat</w:t>
      </w:r>
      <w:r>
        <w:rPr>
          <w:rFonts w:ascii="Times New Roman" w:hAnsi="Times New Roman"/>
          <w:sz w:val="36"/>
          <w:szCs w:val="36"/>
          <w:u w:color="000000"/>
          <w:shd w:val="clear" w:color="auto" w:fill="FFFFFF"/>
        </w:rPr>
        <w:t>ion as it relates to investments.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Courier New" w:hAnsi="Courier New"/>
          <w:sz w:val="36"/>
          <w:szCs w:val="36"/>
          <w:u w:color="000000"/>
          <w:shd w:val="clear" w:color="auto" w:fill="FFFFFF"/>
        </w:rPr>
        <w:t xml:space="preserve">o </w:t>
      </w:r>
      <w:r>
        <w:rPr>
          <w:rFonts w:ascii="Times New Roman" w:hAnsi="Times New Roman"/>
          <w:sz w:val="36"/>
          <w:szCs w:val="36"/>
          <w:u w:color="000000"/>
          <w:shd w:val="clear" w:color="auto" w:fill="FFFFFF"/>
        </w:rPr>
        <w:t>The impact of those investments in elevating the national and global prominence of the state university medicine, law, and graduate-level business programs, specifically relating to:</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first-time pass rate on the Uni</w:t>
      </w:r>
      <w:r>
        <w:rPr>
          <w:rFonts w:ascii="Times New Roman" w:hAnsi="Times New Roman"/>
          <w:sz w:val="36"/>
          <w:szCs w:val="36"/>
          <w:u w:color="000000"/>
          <w:shd w:val="clear" w:color="auto" w:fill="FFFFFF"/>
        </w:rPr>
        <w:t>ted States Medical Licensing Examination;</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first-time pass rate on The Florida Bar Examination;</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percentage of graduates enrolled or employed at a wage threshold that reflects the added value of a graduate-level business degree;</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advancement</w:t>
      </w:r>
      <w:r>
        <w:rPr>
          <w:rFonts w:ascii="Times New Roman" w:hAnsi="Times New Roman"/>
          <w:sz w:val="36"/>
          <w:szCs w:val="36"/>
          <w:u w:color="000000"/>
          <w:shd w:val="clear" w:color="auto" w:fill="FFFFFF"/>
        </w:rPr>
        <w:t xml:space="preserve"> in the rankings of the state university medicine, law, and graduate-level programs in well-known and highly respected national graduate-level university rankings, including, but not limited to, the U.S. News and World Report rankings, which reflect nation</w:t>
      </w:r>
      <w:r>
        <w:rPr>
          <w:rFonts w:ascii="Times New Roman" w:hAnsi="Times New Roman"/>
          <w:sz w:val="36"/>
          <w:szCs w:val="36"/>
          <w:u w:color="000000"/>
          <w:shd w:val="clear" w:color="auto" w:fill="FFFFFF"/>
        </w:rPr>
        <w:t>al preeminence, using the most recent rankings; and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Arial Unicode MS" w:hAnsi="Arial Unicode MS"/>
          <w:sz w:val="36"/>
          <w:szCs w:val="36"/>
          <w:u w:color="000000"/>
          <w:shd w:val="clear" w:color="auto" w:fill="FFFFFF"/>
        </w:rPr>
        <w:t>✓</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The added economic benefit of the universities to the state.</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2+2 Targeted Pathways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each FCCS institution, by the 2018-19 academic year, </w:t>
      </w:r>
      <w:r>
        <w:rPr>
          <w:rFonts w:ascii="Times New Roman" w:hAnsi="Times New Roman"/>
          <w:u w:color="000000"/>
          <w:shd w:val="clear" w:color="auto" w:fill="FFFFFF"/>
        </w:rPr>
        <w:t xml:space="preserve">execute at least one </w:t>
      </w:r>
      <w:r>
        <w:rPr>
          <w:rFonts w:ascii="Times New Roman" w:hAnsi="Times New Roman"/>
          <w:u w:color="000000"/>
          <w:shd w:val="clear" w:color="auto" w:fill="FFFFFF"/>
        </w:rPr>
        <w:t>“</w:t>
      </w:r>
      <w:r>
        <w:rPr>
          <w:rFonts w:ascii="Times New Roman" w:hAnsi="Times New Roman"/>
          <w:u w:color="000000"/>
          <w:shd w:val="clear" w:color="auto" w:fill="FFFFFF"/>
        </w:rPr>
        <w:t>2+2</w:t>
      </w:r>
      <w:r>
        <w:rPr>
          <w:rFonts w:ascii="Times New Roman" w:hAnsi="Times New Roman"/>
          <w:u w:color="000000"/>
          <w:shd w:val="clear" w:color="auto" w:fill="FFFFFF"/>
        </w:rPr>
        <w:t xml:space="preserve">” </w:t>
      </w:r>
      <w:r>
        <w:rPr>
          <w:rFonts w:ascii="Times New Roman" w:hAnsi="Times New Roman"/>
          <w:u w:color="000000"/>
          <w:shd w:val="clear" w:color="auto" w:fill="FFFFFF"/>
        </w:rPr>
        <w:t xml:space="preserve">targeted pathway articulation agreement with one or more state universities to establish </w:t>
      </w:r>
      <w:r>
        <w:rPr>
          <w:rFonts w:ascii="Times New Roman" w:hAnsi="Times New Roman"/>
          <w:u w:color="000000"/>
          <w:shd w:val="clear" w:color="auto" w:fill="FFFFFF"/>
        </w:rPr>
        <w:t>“</w:t>
      </w:r>
      <w:r>
        <w:rPr>
          <w:rFonts w:ascii="Times New Roman" w:hAnsi="Times New Roman"/>
          <w:u w:color="000000"/>
          <w:shd w:val="clear" w:color="auto" w:fill="FFFFFF"/>
        </w:rPr>
        <w:t>2+2</w:t>
      </w:r>
      <w:r>
        <w:rPr>
          <w:rFonts w:ascii="Times New Roman" w:hAnsi="Times New Roman"/>
          <w:u w:color="000000"/>
          <w:shd w:val="clear" w:color="auto" w:fill="FFFFFF"/>
        </w:rPr>
        <w:t xml:space="preserve">” </w:t>
      </w:r>
      <w:r>
        <w:rPr>
          <w:rFonts w:ascii="Times New Roman" w:hAnsi="Times New Roman"/>
          <w:u w:color="000000"/>
          <w:shd w:val="clear" w:color="auto" w:fill="FFFFFF"/>
        </w:rPr>
        <w:t xml:space="preserve">targeted pathway programs. </w:t>
      </w:r>
      <w:r>
        <w:rPr>
          <w:rFonts w:ascii="Times New Roman" w:hAnsi="Times New Roman"/>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lastRenderedPageBreak/>
        <w:t></w:t>
      </w:r>
      <w:r>
        <w:rPr>
          <w:rFonts w:ascii="Symbol" w:hAnsi="Symbol"/>
          <w:sz w:val="36"/>
          <w:szCs w:val="36"/>
          <w:u w:color="000000"/>
          <w:shd w:val="clear" w:color="auto" w:fill="FFFFFF"/>
        </w:rPr>
        <w:t></w:t>
      </w:r>
      <w:r>
        <w:rPr>
          <w:rFonts w:ascii="Times New Roman" w:hAnsi="Times New Roman"/>
          <w:u w:color="000000"/>
          <w:shd w:val="clear" w:color="auto" w:fill="FFFFFF"/>
        </w:rPr>
        <w:t>The agreement must provide students who graduate with an associate in arts degree and who meet specified requirements guaranteed a</w:t>
      </w:r>
      <w:r>
        <w:rPr>
          <w:rFonts w:ascii="Times New Roman" w:hAnsi="Times New Roman"/>
          <w:u w:color="000000"/>
          <w:shd w:val="clear" w:color="auto" w:fill="FFFFFF"/>
        </w:rPr>
        <w:t xml:space="preserve">ccess to the state university and a degree program at that university. </w:t>
      </w:r>
      <w:r>
        <w:rPr>
          <w:rFonts w:ascii="Times New Roman" w:hAnsi="Times New Roman"/>
          <w:u w:color="000000"/>
          <w:shd w:val="clear" w:color="auto" w:fill="FFFFFF"/>
        </w:rPr>
        <w:t> </w:t>
      </w:r>
      <w:r>
        <w:rPr>
          <w:rFonts w:ascii="Times New Roman" w:hAnsi="Times New Roman"/>
          <w:u w:color="000000"/>
          <w:shd w:val="clear" w:color="auto" w:fill="FFFFFF"/>
        </w:rPr>
        <w:t>Lists requirements for both the FCCS institutions and state universities.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u w:color="000000"/>
          <w:shd w:val="clear" w:color="auto" w:fill="FFFFFF"/>
        </w:rPr>
        <w:t>Requires the BOG and SBCC assist the universities and community colleges with implementing these targeted pa</w:t>
      </w:r>
      <w:r>
        <w:rPr>
          <w:rFonts w:ascii="Times New Roman" w:hAnsi="Times New Roman"/>
          <w:u w:color="000000"/>
          <w:shd w:val="clear" w:color="auto" w:fill="FFFFFF"/>
        </w:rPr>
        <w:t xml:space="preserve">thway programs effectively by collaborating to eliminate barriers to their execution. </w:t>
      </w:r>
      <w:r>
        <w:rPr>
          <w:rFonts w:ascii="Times New Roman" w:hAnsi="Times New Roman"/>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Florida College Community System (FCCS) and Board (SBCC)</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Renames the Florida College System to the Florida Community College System and changes all references.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Creates a State Board of Community Colleges (SBCC) with 13 members serving 4-year staggered terms, appointed by the Governor, with Senate confirmation.</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Directs the Division of Florida Colleges provide administrative support to the SBCC until Sept 30, 201</w:t>
      </w:r>
      <w:r>
        <w:rPr>
          <w:rFonts w:ascii="Times New Roman" w:hAnsi="Times New Roman"/>
          <w:sz w:val="36"/>
          <w:szCs w:val="36"/>
          <w:u w:color="000000"/>
          <w:shd w:val="clear" w:color="auto" w:fill="FFFFFF"/>
        </w:rPr>
        <w:t xml:space="preserve">7. </w:t>
      </w:r>
      <w:r>
        <w:rPr>
          <w:rFonts w:ascii="Times New Roman" w:hAnsi="Times New Roman"/>
          <w:sz w:val="36"/>
          <w:szCs w:val="36"/>
          <w:u w:color="000000"/>
          <w:shd w:val="clear" w:color="auto" w:fill="FFFFFF"/>
        </w:rPr>
        <w:t> </w:t>
      </w:r>
      <w:r>
        <w:rPr>
          <w:rFonts w:ascii="Times New Roman" w:hAnsi="Times New Roman"/>
          <w:sz w:val="36"/>
          <w:szCs w:val="36"/>
          <w:u w:color="000000"/>
          <w:shd w:val="clear" w:color="auto" w:fill="FFFFFF"/>
        </w:rPr>
        <w:t xml:space="preserve">On Oct 1 all powers, duties, functions, </w:t>
      </w:r>
      <w:proofErr w:type="spellStart"/>
      <w:r>
        <w:rPr>
          <w:rFonts w:ascii="Times New Roman" w:hAnsi="Times New Roman"/>
          <w:sz w:val="36"/>
          <w:szCs w:val="36"/>
          <w:u w:color="000000"/>
          <w:shd w:val="clear" w:color="auto" w:fill="FFFFFF"/>
        </w:rPr>
        <w:t>etc</w:t>
      </w:r>
      <w:proofErr w:type="spellEnd"/>
      <w:r>
        <w:rPr>
          <w:rFonts w:ascii="Times New Roman" w:hAnsi="Times New Roman"/>
          <w:sz w:val="36"/>
          <w:szCs w:val="36"/>
          <w:u w:color="000000"/>
          <w:shd w:val="clear" w:color="auto" w:fill="FFFFFF"/>
        </w:rPr>
        <w:t xml:space="preserve"> are transferred from the SBE to the SBCC. </w:t>
      </w: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state board appoint a chancellor by Nov 1, 2017.</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state board have an organizational meeting by Sept 30, 2017.</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Restricts a citizen member of the SBCC or a citizen member of the </w:t>
      </w:r>
      <w:proofErr w:type="gramStart"/>
      <w:r>
        <w:rPr>
          <w:rFonts w:ascii="Times New Roman" w:hAnsi="Times New Roman"/>
          <w:sz w:val="36"/>
          <w:szCs w:val="36"/>
          <w:u w:color="000000"/>
          <w:shd w:val="clear" w:color="auto" w:fill="FFFFFF"/>
        </w:rPr>
        <w:t xml:space="preserve">FCCS </w:t>
      </w:r>
      <w:r>
        <w:rPr>
          <w:rFonts w:ascii="Times New Roman" w:hAnsi="Times New Roman"/>
          <w:sz w:val="36"/>
          <w:szCs w:val="36"/>
          <w:u w:color="000000"/>
          <w:shd w:val="clear" w:color="auto" w:fill="FFFFFF"/>
        </w:rPr>
        <w:t> </w:t>
      </w:r>
      <w:r>
        <w:rPr>
          <w:rFonts w:ascii="Times New Roman" w:hAnsi="Times New Roman"/>
          <w:sz w:val="36"/>
          <w:szCs w:val="36"/>
          <w:u w:color="000000"/>
          <w:shd w:val="clear" w:color="auto" w:fill="FFFFFF"/>
        </w:rPr>
        <w:t>board</w:t>
      </w:r>
      <w:proofErr w:type="gramEnd"/>
      <w:r>
        <w:rPr>
          <w:rFonts w:ascii="Times New Roman" w:hAnsi="Times New Roman"/>
          <w:sz w:val="36"/>
          <w:szCs w:val="36"/>
          <w:u w:color="000000"/>
          <w:shd w:val="clear" w:color="auto" w:fill="FFFFFF"/>
        </w:rPr>
        <w:t xml:space="preserve"> of trustees from having or holding employment or contractual relationship as a legislative lobbyist requiring annual registration and reporting pursuant to s. 115 11.045.</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Delet</w:t>
      </w:r>
      <w:r>
        <w:rPr>
          <w:rFonts w:ascii="Times New Roman" w:hAnsi="Times New Roman"/>
          <w:sz w:val="36"/>
          <w:szCs w:val="36"/>
          <w:u w:color="000000"/>
          <w:shd w:val="clear" w:color="auto" w:fill="FFFFFF"/>
        </w:rPr>
        <w:t>es the SBE</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 xml:space="preserve">s authority to develop a common placement test and gives it to the SBCC. </w:t>
      </w: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Gives the SBCC authority to implement new FCS institutions/mergers, evaluate presidents, authorize baccalaureate degrees, propose additional campuses, set tuition and f</w:t>
      </w:r>
      <w:r>
        <w:rPr>
          <w:rFonts w:ascii="Times New Roman" w:hAnsi="Times New Roman"/>
          <w:sz w:val="36"/>
          <w:szCs w:val="36"/>
          <w:u w:color="000000"/>
          <w:shd w:val="clear" w:color="auto" w:fill="FFFFFF"/>
        </w:rPr>
        <w:t>ees, etc.</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lastRenderedPageBreak/>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board develop performance metrics for the System and delineates what those metrics must include.</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Makes changes to the FCCS performance-based funding model.</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Makes changes to the Distinguished Florida Community College System Ins</w:t>
      </w:r>
      <w:r>
        <w:rPr>
          <w:rFonts w:ascii="Times New Roman" w:hAnsi="Times New Roman"/>
          <w:sz w:val="36"/>
          <w:szCs w:val="36"/>
          <w:u w:color="000000"/>
          <w:shd w:val="clear" w:color="auto" w:fill="FFFFFF"/>
        </w:rPr>
        <w:t>titution Program.</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FCCS Baccalaureate Degrees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Prohibits the FCCS institutions from offering a Bachelor of Arts degree program.</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Deletes St Petersburg College</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 xml:space="preserve">s authority to establish bachelor of </w:t>
      </w:r>
      <w:proofErr w:type="spellStart"/>
      <w:r>
        <w:rPr>
          <w:rFonts w:ascii="Times New Roman" w:hAnsi="Times New Roman"/>
          <w:sz w:val="36"/>
          <w:szCs w:val="36"/>
          <w:u w:color="000000"/>
          <w:shd w:val="clear" w:color="auto" w:fill="FFFFFF"/>
        </w:rPr>
        <w:t>ap</w:t>
      </w:r>
      <w:proofErr w:type="spellEnd"/>
      <w:r>
        <w:rPr>
          <w:rFonts w:ascii="Times New Roman" w:hAnsi="Times New Roman"/>
          <w:sz w:val="36"/>
          <w:szCs w:val="36"/>
          <w:u w:color="000000"/>
          <w:shd w:val="clear" w:color="auto" w:fill="FFFFFF"/>
        </w:rPr>
        <w:t xml:space="preserve"> plied science degree programs. Additionally, the bill </w:t>
      </w:r>
      <w:r>
        <w:rPr>
          <w:rFonts w:ascii="Times New Roman" w:hAnsi="Times New Roman"/>
          <w:sz w:val="36"/>
          <w:szCs w:val="36"/>
          <w:u w:color="000000"/>
          <w:shd w:val="clear" w:color="auto" w:fill="FFFFFF"/>
        </w:rPr>
        <w:t>deletes the Board of Trustees of SPC independent authorization to establish additional baccalaureate degree programs.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Increases the notice of intent for FCCS institutions to propose a baccalaureate degree program from 100 days to </w:t>
      </w:r>
      <w:r>
        <w:rPr>
          <w:rFonts w:ascii="Times New Roman" w:hAnsi="Times New Roman"/>
          <w:sz w:val="36"/>
          <w:szCs w:val="36"/>
          <w:u w:val="single" w:color="000000"/>
          <w:shd w:val="clear" w:color="auto" w:fill="FFFFFF"/>
        </w:rPr>
        <w:t>at least 180 days</w:t>
      </w:r>
      <w:r>
        <w:rPr>
          <w:rFonts w:ascii="Times New Roman" w:hAnsi="Times New Roman"/>
          <w:sz w:val="36"/>
          <w:szCs w:val="36"/>
          <w:u w:color="000000"/>
          <w:shd w:val="clear" w:color="auto" w:fill="FFFFFF"/>
        </w:rPr>
        <w:t xml:space="preserve"> before</w:t>
      </w:r>
      <w:r>
        <w:rPr>
          <w:rFonts w:ascii="Times New Roman" w:hAnsi="Times New Roman"/>
          <w:sz w:val="36"/>
          <w:szCs w:val="36"/>
          <w:u w:color="000000"/>
          <w:shd w:val="clear" w:color="auto" w:fill="FFFFFF"/>
        </w:rPr>
        <w:t xml:space="preserve"> the submission of the proposal. </w:t>
      </w: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the notice of interest be entered into a shared postsecondary database for preview and feedback. </w:t>
      </w: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a written notice of intent submitted to the Chancellor of the FCCS at least 100 days before </w:t>
      </w:r>
      <w:r>
        <w:rPr>
          <w:rFonts w:ascii="Times New Roman" w:hAnsi="Times New Roman"/>
          <w:sz w:val="36"/>
          <w:szCs w:val="36"/>
          <w:u w:color="000000"/>
          <w:shd w:val="clear" w:color="auto" w:fill="FFFFFF"/>
        </w:rPr>
        <w:t>submitting the baccalaureate degree proposal.</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The Chancellor of the FCCS must forward notice of intent and justification for the proposed program to the Chancellor of the SUS within 10 days.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Chancellor of the SUS review the objection raise</w:t>
      </w:r>
      <w:r>
        <w:rPr>
          <w:rFonts w:ascii="Times New Roman" w:hAnsi="Times New Roman"/>
          <w:sz w:val="36"/>
          <w:szCs w:val="36"/>
          <w:u w:color="000000"/>
          <w:shd w:val="clear" w:color="auto" w:fill="FFFFFF"/>
        </w:rPr>
        <w:t>d by the university and inform the BOG before the university submits its objection to the SBCC. The Chancellor of the SBCC must review with the Chancellor of the SUS and consider the objection before approving or denying the proposal.</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lastRenderedPageBreak/>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Makes a proposed al</w:t>
      </w:r>
      <w:r>
        <w:rPr>
          <w:rFonts w:ascii="Times New Roman" w:hAnsi="Times New Roman"/>
          <w:sz w:val="36"/>
          <w:szCs w:val="36"/>
          <w:u w:color="000000"/>
          <w:shd w:val="clear" w:color="auto" w:fill="FFFFFF"/>
        </w:rPr>
        <w:t xml:space="preserve">ternate proposal </w:t>
      </w:r>
      <w:r>
        <w:rPr>
          <w:rFonts w:ascii="Times New Roman" w:hAnsi="Times New Roman"/>
          <w:sz w:val="36"/>
          <w:szCs w:val="36"/>
          <w:u w:val="single" w:color="000000"/>
          <w:shd w:val="clear" w:color="auto" w:fill="FFFFFF"/>
        </w:rPr>
        <w:t>optional</w:t>
      </w:r>
      <w:r>
        <w:rPr>
          <w:rFonts w:ascii="Times New Roman" w:hAnsi="Times New Roman"/>
          <w:sz w:val="36"/>
          <w:szCs w:val="36"/>
          <w:u w:color="000000"/>
          <w:shd w:val="clear" w:color="auto" w:fill="FFFFFF"/>
        </w:rPr>
        <w:t>.</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each FCCS institution submit a baccalaureate degree program proposal at least 100 days after submitting the notice of intent.</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an FCCS institution that is proposing a new baccalaureate degree program include </w:t>
      </w:r>
      <w:r>
        <w:rPr>
          <w:rFonts w:ascii="Times New Roman" w:hAnsi="Times New Roman"/>
          <w:sz w:val="36"/>
          <w:szCs w:val="36"/>
          <w:u w:color="000000"/>
          <w:shd w:val="clear" w:color="auto" w:fill="FFFFFF"/>
        </w:rPr>
        <w:t xml:space="preserve">a justification in the proposal that includes a data-driven analysis of workforce demand and how the program will meet that demand and unmet need. </w:t>
      </w:r>
      <w:r>
        <w:rPr>
          <w:rFonts w:ascii="Times New Roman" w:hAnsi="Times New Roman"/>
          <w:sz w:val="36"/>
          <w:szCs w:val="36"/>
          <w:u w:color="000000"/>
          <w:shd w:val="clear" w:color="auto" w:fill="FFFFFF"/>
        </w:rPr>
        <w:t> </w:t>
      </w:r>
      <w:r>
        <w:rPr>
          <w:rFonts w:ascii="Times New Roman" w:hAnsi="Times New Roman"/>
          <w:sz w:val="36"/>
          <w:szCs w:val="36"/>
          <w:u w:color="000000"/>
          <w:shd w:val="clear" w:color="auto" w:fill="FFFFFF"/>
        </w:rPr>
        <w:t>Delineates requirements in the justification, and requires the analysis be verified by more than one indepen</w:t>
      </w:r>
      <w:r>
        <w:rPr>
          <w:rFonts w:ascii="Times New Roman" w:hAnsi="Times New Roman"/>
          <w:sz w:val="36"/>
          <w:szCs w:val="36"/>
          <w:u w:color="000000"/>
          <w:shd w:val="clear" w:color="auto" w:fill="FFFFFF"/>
        </w:rPr>
        <w:t>dent third-party professional entity.</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The justification must be provided to the SBCC within 90 days after submitting a notice of proposal for a new degree program. The state board has 10 business days to forward the justification to the Chancellor of the</w:t>
      </w:r>
      <w:r>
        <w:rPr>
          <w:rFonts w:ascii="Times New Roman" w:hAnsi="Times New Roman"/>
          <w:sz w:val="36"/>
          <w:szCs w:val="36"/>
          <w:u w:color="000000"/>
          <w:shd w:val="clear" w:color="auto" w:fill="FFFFFF"/>
        </w:rPr>
        <w:t xml:space="preserve"> SUS.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new degree program proposals not to exceed $10,000 for the entire degree program.</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Requires the state board require the FCCS institution</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 xml:space="preserve">s board of trustees terminate a program that has indicated negative program performance and/or fails </w:t>
      </w:r>
      <w:r>
        <w:rPr>
          <w:rFonts w:ascii="Times New Roman" w:hAnsi="Times New Roman"/>
          <w:sz w:val="36"/>
          <w:szCs w:val="36"/>
          <w:u w:color="000000"/>
          <w:shd w:val="clear" w:color="auto" w:fill="FFFFFF"/>
        </w:rPr>
        <w:t>a needs assessment.</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Establishes upper-level FTE enrollment threshold at 10%; authorizes growth at 4% for institutions above that threshold, and 8% for institutions below that threshold.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Establishes an institution upper-level FTE enrollment cap of 15%.</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Within the 4% and 8% growth, for any planned and purposeful expansion of existing baccalaureate degree programs or creation of a new baccalaureate program, a community college must demonstrate satisfactory performance in fulfilling its primary </w:t>
      </w:r>
      <w:r>
        <w:rPr>
          <w:rFonts w:ascii="Times New Roman" w:hAnsi="Times New Roman"/>
          <w:sz w:val="36"/>
          <w:szCs w:val="36"/>
          <w:u w:color="000000"/>
          <w:shd w:val="clear" w:color="auto" w:fill="FFFFFF"/>
        </w:rPr>
        <w:lastRenderedPageBreak/>
        <w:t>mission, c</w:t>
      </w:r>
      <w:r>
        <w:rPr>
          <w:rFonts w:ascii="Times New Roman" w:hAnsi="Times New Roman"/>
          <w:sz w:val="36"/>
          <w:szCs w:val="36"/>
          <w:u w:color="000000"/>
          <w:shd w:val="clear" w:color="auto" w:fill="FFFFFF"/>
        </w:rPr>
        <w:t>omplying with 2+2 targeted pathways, and meeting performance standards.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u w:color="000000"/>
          <w:shd w:val="clear" w:color="auto" w:fill="FFFFFF"/>
        </w:rPr>
        <w:t>Requires the review of all academic programs in FCCS institutions at least every 7 years.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color="000000"/>
          <w:shd w:val="clear" w:color="auto" w:fill="FFFFFF"/>
        </w:rPr>
        <w:t>Joint tasks of the BOG and FCCS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the BOG work in tandem with the SBE and the </w:t>
      </w:r>
      <w:r>
        <w:rPr>
          <w:rFonts w:ascii="Times New Roman" w:hAnsi="Times New Roman"/>
          <w:sz w:val="36"/>
          <w:szCs w:val="36"/>
          <w:u w:color="000000"/>
          <w:shd w:val="clear" w:color="auto" w:fill="FFFFFF"/>
        </w:rPr>
        <w:t>SBCC on avoiding the wasteful duplication of facilities or programs.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u w:color="000000"/>
          <w:shd w:val="clear" w:color="auto" w:fill="FFFFFF"/>
        </w:rPr>
        <w:t>Requires the SBCC to establish and review, in consultation with the SBE and BOG, minimum and uniform standards of college-level communication and computation skills generally associated</w:t>
      </w:r>
      <w:r>
        <w:rPr>
          <w:rFonts w:ascii="Times New Roman" w:hAnsi="Times New Roman"/>
          <w:u w:color="000000"/>
          <w:shd w:val="clear" w:color="auto" w:fill="FFFFFF"/>
        </w:rPr>
        <w:t xml:space="preserve"> with successful performance and progression through the baccalaureate level, to identify college-preparatory high school coursework and postsecondary-level coursework that prepares students with the academic skills necessary to succeed in postsecondary ed</w:t>
      </w:r>
      <w:r>
        <w:rPr>
          <w:rFonts w:ascii="Times New Roman" w:hAnsi="Times New Roman"/>
          <w:u w:color="000000"/>
          <w:shd w:val="clear" w:color="auto" w:fill="FFFFFF"/>
        </w:rPr>
        <w:t>ucation.</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u w:color="000000"/>
          <w:shd w:val="clear" w:color="auto" w:fill="FFFFFF"/>
        </w:rPr>
        <w:t>Requires the board develop a 5-year strategic plan in coordination with the SBE and BOG in order to coordinate the roles of the school districts and universities to best meet state needs and reflect cost-effective use of state resources, and mus</w:t>
      </w:r>
      <w:r>
        <w:rPr>
          <w:rFonts w:ascii="Times New Roman" w:hAnsi="Times New Roman"/>
          <w:u w:color="000000"/>
          <w:shd w:val="clear" w:color="auto" w:fill="FFFFFF"/>
        </w:rPr>
        <w:t xml:space="preserve">t consider reports and recommendations of the HECC and Articulation Coordinating Committee. </w:t>
      </w:r>
      <w:r>
        <w:rPr>
          <w:rFonts w:ascii="Times New Roman" w:hAnsi="Times New Roman"/>
          <w:u w:color="000000"/>
          <w:shd w:val="clear" w:color="auto" w:fill="FFFFFF"/>
        </w:rPr>
        <w:t> </w:t>
      </w:r>
      <w:r>
        <w:rPr>
          <w:rFonts w:ascii="Times New Roman" w:hAnsi="Times New Roman"/>
          <w:u w:color="000000"/>
          <w:shd w:val="clear" w:color="auto" w:fill="FFFFFF"/>
        </w:rPr>
        <w:t>A report from the SBCC must be submitted with the LBR.</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 xml:space="preserve">Requires the BOG, SBE, and FCCS jointly develop </w:t>
      </w:r>
      <w:r>
        <w:rPr>
          <w:rFonts w:ascii="Times New Roman" w:hAnsi="Times New Roman"/>
          <w:u w:color="000000"/>
          <w:shd w:val="clear" w:color="auto" w:fill="FFFFFF"/>
        </w:rPr>
        <w:t>long-range plans and annual reports for financial aid in t</w:t>
      </w:r>
      <w:r>
        <w:rPr>
          <w:rFonts w:ascii="Times New Roman" w:hAnsi="Times New Roman"/>
          <w:u w:color="000000"/>
          <w:shd w:val="clear" w:color="auto" w:fill="FFFFFF"/>
        </w:rPr>
        <w:t xml:space="preserve">his state. The long-range plans must establish goals and objectives for a comprehensive program of financial aid for students and shall be updated every 5 years. </w:t>
      </w:r>
      <w:r>
        <w:rPr>
          <w:rFonts w:ascii="Times New Roman" w:hAnsi="Times New Roman"/>
          <w:u w:color="000000"/>
          <w:shd w:val="clear" w:color="auto" w:fill="FFFFFF"/>
        </w:rPr>
        <w:t> </w:t>
      </w:r>
      <w:r>
        <w:rPr>
          <w:rFonts w:ascii="Times New Roman" w:hAnsi="Times New Roman"/>
          <w:u w:color="000000"/>
          <w:shd w:val="clear" w:color="auto" w:fill="FFFFFF"/>
        </w:rPr>
        <w:t xml:space="preserve">Lists requirements in the plan. </w:t>
      </w:r>
      <w:r>
        <w:rPr>
          <w:rFonts w:ascii="Times New Roman" w:hAnsi="Times New Roman"/>
          <w:u w:color="000000"/>
          <w:shd w:val="clear" w:color="auto" w:fill="FFFFFF"/>
        </w:rPr>
        <w:t> </w:t>
      </w:r>
      <w:r>
        <w:rPr>
          <w:rFonts w:ascii="Times New Roman" w:hAnsi="Times New Roman"/>
          <w:u w:val="single" w:color="000000"/>
          <w:shd w:val="clear" w:color="auto" w:fill="FFFFFF"/>
        </w:rPr>
        <w:t>Requires the long-range plan be submitted to the Legislature</w:t>
      </w:r>
      <w:r>
        <w:rPr>
          <w:rFonts w:ascii="Times New Roman" w:hAnsi="Times New Roman"/>
          <w:u w:val="single" w:color="000000"/>
          <w:shd w:val="clear" w:color="auto" w:fill="FFFFFF"/>
        </w:rPr>
        <w:t xml:space="preserve"> by July 1, 2018 and every 5 years thereafter, and a report on the same date in each successive year a plan is not submitted.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Symbol" w:hAnsi="Symbol"/>
          <w:sz w:val="36"/>
          <w:szCs w:val="36"/>
          <w:u w:color="000000"/>
          <w:shd w:val="clear" w:color="auto" w:fill="FFFFFF"/>
        </w:rPr>
        <w:t></w:t>
      </w:r>
      <w:r>
        <w:rPr>
          <w:rFonts w:ascii="Symbol" w:hAnsi="Symbol"/>
          <w:sz w:val="36"/>
          <w:szCs w:val="36"/>
          <w:u w:color="000000"/>
          <w:shd w:val="clear" w:color="auto" w:fill="FFFFFF"/>
        </w:rPr>
        <w:t></w:t>
      </w:r>
      <w:r>
        <w:rPr>
          <w:rFonts w:ascii="Times New Roman" w:hAnsi="Times New Roman"/>
          <w:sz w:val="36"/>
          <w:szCs w:val="36"/>
          <w:u w:color="000000"/>
          <w:shd w:val="clear" w:color="auto" w:fill="FFFFFF"/>
        </w:rPr>
        <w:t>Encourages the FCCS institutions to enter into agreements with state universities which allow a FCCS institution student to comp</w:t>
      </w:r>
      <w:r>
        <w:rPr>
          <w:rFonts w:ascii="Times New Roman" w:hAnsi="Times New Roman"/>
          <w:sz w:val="36"/>
          <w:szCs w:val="36"/>
          <w:u w:color="000000"/>
          <w:shd w:val="clear" w:color="auto" w:fill="FFFFFF"/>
        </w:rPr>
        <w:t>lete upper-division-level courses at a FCCS institution.</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val="single" w:color="000000"/>
          <w:shd w:val="clear" w:color="auto" w:fill="FFFFFF"/>
        </w:rPr>
        <w:t>SUMMARY OF REQUIRED REPORTS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color="000000"/>
          <w:shd w:val="clear" w:color="auto" w:fill="FFFFFF"/>
        </w:rPr>
        <w:t>Universities: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xml:space="preserve">Oct 1, 2017 </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 xml:space="preserve">(Block Tuition) - Requires each university board of trustees adopt a block tuition and fee policy, for implementation by the fall 2018 </w:t>
      </w:r>
      <w:r>
        <w:rPr>
          <w:rFonts w:ascii="Times New Roman" w:hAnsi="Times New Roman"/>
          <w:sz w:val="36"/>
          <w:szCs w:val="36"/>
          <w:u w:color="000000"/>
          <w:shd w:val="clear" w:color="auto" w:fill="FFFFFF"/>
        </w:rPr>
        <w:t>academic semester and submit the policy, including, but not limited to, information on the potential impact of the policy on students, to the Board of Governors.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b/>
          <w:bCs/>
          <w:sz w:val="36"/>
          <w:szCs w:val="36"/>
          <w:u w:color="000000"/>
          <w:shd w:val="clear" w:color="auto" w:fill="FFFFFF"/>
        </w:rPr>
        <w:t>Board of Governors: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lastRenderedPageBreak/>
        <w:t xml:space="preserve">Sep 1, 2017 </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(Programs of Excellence) - Requires Board submit recommendat</w:t>
      </w:r>
      <w:r>
        <w:rPr>
          <w:rFonts w:ascii="Times New Roman" w:hAnsi="Times New Roman"/>
          <w:sz w:val="36"/>
          <w:szCs w:val="36"/>
          <w:u w:color="000000"/>
          <w:shd w:val="clear" w:color="auto" w:fill="FFFFFF"/>
        </w:rPr>
        <w:t>ions to the Legislature</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xml:space="preserve">Dec 1, </w:t>
      </w:r>
      <w:proofErr w:type="gramStart"/>
      <w:r>
        <w:rPr>
          <w:rFonts w:ascii="Times New Roman" w:hAnsi="Times New Roman"/>
          <w:sz w:val="36"/>
          <w:szCs w:val="36"/>
          <w:u w:color="000000"/>
          <w:shd w:val="clear" w:color="auto" w:fill="FFFFFF"/>
        </w:rPr>
        <w:t xml:space="preserve">2017 </w:t>
      </w:r>
      <w:r>
        <w:rPr>
          <w:rFonts w:ascii="Times New Roman" w:hAnsi="Times New Roman"/>
          <w:sz w:val="36"/>
          <w:szCs w:val="36"/>
          <w:u w:color="000000"/>
          <w:shd w:val="clear" w:color="auto" w:fill="FFFFFF"/>
        </w:rPr>
        <w:t> </w:t>
      </w:r>
      <w:r>
        <w:rPr>
          <w:rFonts w:ascii="Times New Roman" w:hAnsi="Times New Roman"/>
          <w:sz w:val="36"/>
          <w:szCs w:val="36"/>
          <w:u w:color="000000"/>
          <w:shd w:val="clear" w:color="auto" w:fill="FFFFFF"/>
        </w:rPr>
        <w:t>-</w:t>
      </w:r>
      <w:proofErr w:type="gramEnd"/>
      <w:r>
        <w:rPr>
          <w:rFonts w:ascii="Times New Roman" w:hAnsi="Times New Roman"/>
          <w:sz w:val="36"/>
          <w:szCs w:val="36"/>
          <w:u w:color="000000"/>
          <w:shd w:val="clear" w:color="auto" w:fill="FFFFFF"/>
        </w:rPr>
        <w:t xml:space="preserve"> (Block Tuition) - Requires the Chancellor of the SUS shall submit to the Governor, the President, and the Speaker a </w:t>
      </w:r>
      <w:r>
        <w:rPr>
          <w:rFonts w:ascii="Times New Roman" w:hAnsi="Times New Roman"/>
          <w:sz w:val="36"/>
          <w:szCs w:val="36"/>
          <w:u w:val="single" w:color="000000"/>
          <w:shd w:val="clear" w:color="auto" w:fill="FFFFFF"/>
        </w:rPr>
        <w:t>summary report</w:t>
      </w:r>
      <w:r>
        <w:rPr>
          <w:rFonts w:ascii="Times New Roman" w:hAnsi="Times New Roman"/>
          <w:sz w:val="36"/>
          <w:szCs w:val="36"/>
          <w:u w:color="000000"/>
          <w:shd w:val="clear" w:color="auto" w:fill="FFFFFF"/>
        </w:rPr>
        <w:t xml:space="preserve"> of university block tuition policies, the status of the board</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s review and approval of</w:t>
      </w:r>
      <w:r>
        <w:rPr>
          <w:rFonts w:ascii="Times New Roman" w:hAnsi="Times New Roman"/>
          <w:sz w:val="36"/>
          <w:szCs w:val="36"/>
          <w:u w:color="000000"/>
          <w:shd w:val="clear" w:color="auto" w:fill="FFFFFF"/>
        </w:rPr>
        <w:t xml:space="preserve"> such policies, and the board</w:t>
      </w:r>
      <w:r>
        <w:rPr>
          <w:rFonts w:ascii="Times New Roman" w:hAnsi="Times New Roman"/>
          <w:sz w:val="36"/>
          <w:szCs w:val="36"/>
          <w:u w:color="000000"/>
          <w:shd w:val="clear" w:color="auto" w:fill="FFFFFF"/>
        </w:rPr>
        <w:t>’</w:t>
      </w:r>
      <w:r>
        <w:rPr>
          <w:rFonts w:ascii="Times New Roman" w:hAnsi="Times New Roman"/>
          <w:sz w:val="36"/>
          <w:szCs w:val="36"/>
          <w:u w:color="000000"/>
          <w:shd w:val="clear" w:color="auto" w:fill="FFFFFF"/>
        </w:rPr>
        <w:t>s recommendations for improving block tuition and fee benefits for students.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Dec 31, 2017 - (PF state investment allocation methodologies) - The Board shall submit a report describing the study, and any action taken by the Boa</w:t>
      </w:r>
      <w:r>
        <w:rPr>
          <w:rFonts w:ascii="Times New Roman" w:hAnsi="Times New Roman"/>
          <w:sz w:val="36"/>
          <w:szCs w:val="36"/>
          <w:u w:color="000000"/>
          <w:shd w:val="clear" w:color="auto" w:fill="FFFFFF"/>
        </w:rPr>
        <w:t>rd relative to the study, to the chairs of the House and Senate Education Appropriations Subcommittees.</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xml:space="preserve">March 15, 2018 </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lang w:val="it-IT"/>
        </w:rPr>
        <w:t xml:space="preserve">(World Class Faculty &amp; Scholar Program) </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 xml:space="preserve">Requires Board submit a report summarizing the information from the universities on this program. </w:t>
      </w: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xml:space="preserve">March 15, 2018 </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 xml:space="preserve">(State University Professional and Graduate Degree Excellence Program) </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Requires Board submit a report summarizing the information from th</w:t>
      </w:r>
      <w:r>
        <w:rPr>
          <w:rFonts w:ascii="Times New Roman" w:hAnsi="Times New Roman"/>
          <w:sz w:val="36"/>
          <w:szCs w:val="36"/>
          <w:u w:color="000000"/>
          <w:shd w:val="clear" w:color="auto" w:fill="FFFFFF"/>
        </w:rPr>
        <w:t xml:space="preserve">e universities on this program. </w:t>
      </w:r>
      <w:r>
        <w:rPr>
          <w:rFonts w:ascii="Times New Roman" w:hAnsi="Times New Roman"/>
          <w:sz w:val="36"/>
          <w:szCs w:val="36"/>
          <w:u w:color="000000"/>
          <w:shd w:val="clear" w:color="auto" w:fill="FFFFFF"/>
        </w:rPr>
        <w:t> </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 xml:space="preserve">July 1, 2018 </w:t>
      </w:r>
      <w:r>
        <w:rPr>
          <w:rFonts w:ascii="Times New Roman" w:hAnsi="Times New Roman"/>
          <w:sz w:val="36"/>
          <w:szCs w:val="36"/>
          <w:u w:color="000000"/>
          <w:shd w:val="clear" w:color="auto" w:fill="FFFFFF"/>
        </w:rPr>
        <w:t xml:space="preserve">– </w:t>
      </w:r>
      <w:r>
        <w:rPr>
          <w:rFonts w:ascii="Times New Roman" w:hAnsi="Times New Roman"/>
          <w:sz w:val="36"/>
          <w:szCs w:val="36"/>
          <w:u w:color="000000"/>
          <w:shd w:val="clear" w:color="auto" w:fill="FFFFFF"/>
        </w:rPr>
        <w:t>(Joint strategic plan) - Requires the joint long-range plan (BOG, SBE, FCCS) be submitted to the Legislature by July 1, 2018 and every 5 years thereafter, and a report on the same date in each successive yea</w:t>
      </w:r>
      <w:r>
        <w:rPr>
          <w:rFonts w:ascii="Times New Roman" w:hAnsi="Times New Roman"/>
          <w:sz w:val="36"/>
          <w:szCs w:val="36"/>
          <w:u w:color="000000"/>
          <w:shd w:val="clear" w:color="auto" w:fill="FFFFFF"/>
        </w:rPr>
        <w:t>r a plan is not submitted.</w:t>
      </w:r>
    </w:p>
    <w:p w:rsidR="008629DE" w:rsidRDefault="00550855">
      <w:pPr>
        <w:pStyle w:val="Default"/>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4</w:t>
      </w:r>
    </w:p>
    <w:p w:rsidR="008629DE" w:rsidRDefault="00550855">
      <w:pPr>
        <w:pStyle w:val="Default"/>
      </w:pPr>
      <w:r>
        <w:rPr>
          <w:rFonts w:ascii="Times New Roman" w:hAnsi="Times New Roman"/>
          <w:sz w:val="36"/>
          <w:szCs w:val="36"/>
          <w:u w:color="000000"/>
          <w:shd w:val="clear" w:color="auto" w:fill="FFFFFF"/>
        </w:rPr>
        <w:t> </w:t>
      </w:r>
    </w:p>
    <w:sectPr w:rsidR="008629DE">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855" w:rsidRDefault="00550855">
      <w:r>
        <w:separator/>
      </w:r>
    </w:p>
  </w:endnote>
  <w:endnote w:type="continuationSeparator" w:id="0">
    <w:p w:rsidR="00550855" w:rsidRDefault="00550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DE" w:rsidRDefault="008629D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855" w:rsidRDefault="00550855">
      <w:r>
        <w:separator/>
      </w:r>
    </w:p>
  </w:footnote>
  <w:footnote w:type="continuationSeparator" w:id="0">
    <w:p w:rsidR="00550855" w:rsidRDefault="00550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DE" w:rsidRDefault="008629D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DE"/>
    <w:rsid w:val="00550855"/>
    <w:rsid w:val="008629DE"/>
    <w:rsid w:val="00B2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FE92"/>
  <w15:docId w15:val="{B2ACC069-065A-4B4D-9033-E4796AE4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Blankenship, Anne</dc:creator>
  <cp:lastModifiedBy>Blankenship, Anne</cp:lastModifiedBy>
  <cp:revision>2</cp:revision>
  <dcterms:created xsi:type="dcterms:W3CDTF">2017-06-15T12:36:00Z</dcterms:created>
  <dcterms:modified xsi:type="dcterms:W3CDTF">2017-06-15T12:36:00Z</dcterms:modified>
</cp:coreProperties>
</file>