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Raw covariance and estimated 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Confidence intervals for estimated correlations are reported in the form:</w:t>
      </w:r>
      <w:r>
        <w:t xml:space="preserve"> </w:t>
      </w:r>
      <w:r>
        <w:rPr>
          <w:rStyle w:val="VerbatimChar"/>
        </w:rPr>
        <w:t xml:space="preserve">(low,high)</w:t>
      </w:r>
      <w:r>
        <w:t xml:space="preserve"> </w:t>
      </w:r>
      <w:r>
        <w:t xml:space="preserve">where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t xml:space="preserve">Computed correlations are reported in the form:</w:t>
      </w:r>
      <w:r>
        <w:t xml:space="preserve"> </w:t>
      </w:r>
      <w:r>
        <w:rPr>
          <w:rStyle w:val="VerbatimChar"/>
        </w:rPr>
        <w:t xml:space="preserve">est(low, high)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2016-12-29, 15:24 -0500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63ce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69f3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(full)</dc:title>
  <dc:creator/>
</cp:coreProperties>
</file>