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  <w:tc>
          <w:p>
            <w:pPr>
              <w:pStyle w:val="Compact"/>
              <w:jc w:val="right"/>
            </w:pPr>
            <w:r>
              <w:t xml:space="preserve">2.36(0.14)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-0.29(0.04)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  <w:tc>
          <w:p>
            <w:pPr>
              <w:pStyle w:val="Compact"/>
              <w:jc w:val="right"/>
            </w:pPr>
            <w:r>
              <w:t xml:space="preserve">-0.35(0.15)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  <w:tc>
          <w:p>
            <w:pPr>
              <w:pStyle w:val="Compact"/>
              <w:jc w:val="right"/>
            </w:pPr>
            <w:r>
              <w:t xml:space="preserve">-1.946008e+04( 557)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  <w:tc>
          <w:p>
            <w:pPr>
              <w:pStyle w:val="Compact"/>
              <w:jc w:val="right"/>
            </w:pPr>
            <w:r>
              <w:t xml:space="preserve">3.900216e+04(1,115)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  <w:tc>
          <w:p>
            <w:pPr>
              <w:pStyle w:val="Compact"/>
              <w:jc w:val="right"/>
            </w:pPr>
            <w:r>
              <w:t xml:space="preserve">3.919330e+04(1,115)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  <w:tc>
          <w:p>
            <w:pPr>
              <w:pStyle w:val="Compact"/>
              <w:jc w:val="right"/>
            </w:pPr>
            <w:r>
              <w:t xml:space="preserve">1.41(0.01)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  <w:tc>
          <w:p>
            <w:pPr>
              <w:pStyle w:val="Compact"/>
              <w:jc w:val="right"/>
            </w:pPr>
            <w:r>
              <w:t xml:space="preserve">-0.27(0.04)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  <w:tc>
          <w:p>
            <w:pPr>
              <w:pStyle w:val="Compact"/>
              <w:jc w:val="right"/>
            </w:pPr>
            <w:r>
              <w:t xml:space="preserve">-0.15(0.23)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  <w:tc>
          <w:p>
            <w:pPr>
              <w:pStyle w:val="Compact"/>
              <w:jc w:val="right"/>
            </w:pPr>
            <w:r>
              <w:t xml:space="preserve">-0.00(0.03)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  <w:tc>
          <w:p>
            <w:pPr>
              <w:pStyle w:val="Compact"/>
              <w:jc w:val="right"/>
            </w:pPr>
            <w:r>
              <w:t xml:space="preserve">-1.768481e+04(427)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  <w:tc>
          <w:p>
            <w:pPr>
              <w:pStyle w:val="Compact"/>
              <w:jc w:val="right"/>
            </w:pPr>
            <w:r>
              <w:t xml:space="preserve">3.545162e+04(854)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  <w:tc>
          <w:p>
            <w:pPr>
              <w:pStyle w:val="Compact"/>
              <w:jc w:val="right"/>
            </w:pPr>
            <w:r>
              <w:t xml:space="preserve">3.564369e+04(854)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e0df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