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87.73(0.51)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-6.64(0.30)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  <w:tc>
          <w:p>
            <w:pPr>
              <w:pStyle w:val="Compact"/>
              <w:jc w:val="center"/>
            </w:pPr>
            <w:r>
              <w:t xml:space="preserve">2.81(0.07)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  <w:tc>
          <w:p>
            <w:pPr>
              <w:pStyle w:val="Compact"/>
              <w:jc w:val="center"/>
            </w:pPr>
            <w:r>
              <w:t xml:space="preserve">-3.04(0.01)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  <w:tc>
          <w:p>
            <w:pPr>
              <w:pStyle w:val="Compact"/>
              <w:jc w:val="center"/>
            </w:pPr>
            <w:r>
              <w:t xml:space="preserve">-4.92(0.04)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  <w:tc>
          <w:p>
            <w:pPr>
              <w:pStyle w:val="Compact"/>
              <w:jc w:val="center"/>
            </w:pPr>
            <w:r>
              <w:t xml:space="preserve">1.97(0.08)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center"/>
            </w:pPr>
            <w:r>
              <w:t xml:space="preserve">-0.57(0.04)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center"/>
            </w:pPr>
            <w:r>
              <w:t xml:space="preserve">0.64(0.02)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  <w:tc>
          <w:p>
            <w:pPr>
              <w:pStyle w:val="Compact"/>
              <w:jc w:val="center"/>
            </w:pPr>
            <w:r>
              <w:t xml:space="preserve">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center"/>
            </w:pPr>
            <w:r>
              <w:t xml:space="preserve">-0.15(0.03)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415.67(3.62)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4.84(0.21)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172.35(2.72)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-44.21(0.92)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-0.01(0.13)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center"/>
            </w:pPr>
            <w:r>
              <w:t xml:space="preserve">0.37(0.14)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center"/>
            </w:pPr>
            <w:r>
              <w:t xml:space="preserve">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  <w:tc>
          <w:p>
            <w:pPr>
              <w:pStyle w:val="Compact"/>
              <w:jc w:val="center"/>
            </w:pPr>
            <w:r>
              <w:t xml:space="preserve">-3,832(228)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  <w:tc>
          <w:p>
            <w:pPr>
              <w:pStyle w:val="Compact"/>
              <w:jc w:val="center"/>
            </w:pPr>
            <w:r>
              <w:t xml:space="preserve">7,737(456)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center"/>
            </w:pPr>
            <w:r>
              <w:t xml:space="preserve">7,864(456)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</w:tbl>
    <w:p>
      <w:pPr>
        <w:pStyle w:val="Heading2"/>
      </w:pPr>
      <w:bookmarkStart w:id="24" w:name="piccomp"/>
      <w:bookmarkEnd w:id="24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</w:tr>
    </w:tbl>
    <w:p>
      <w:pPr>
        <w:pStyle w:val="Heading2"/>
      </w:pPr>
      <w:bookmarkStart w:id="25" w:name="spatial_ab"/>
      <w:bookmarkEnd w:id="25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</w:tr>
    </w:tbl>
    <w:p>
      <w:pPr>
        <w:pStyle w:val="Heading2"/>
      </w:pPr>
      <w:bookmarkStart w:id="26" w:name="symbol"/>
      <w:bookmarkEnd w:id="26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</w:tr>
    </w:tbl>
    <w:p>
      <w:pPr>
        <w:pStyle w:val="Heading2"/>
      </w:pPr>
      <w:bookmarkStart w:id="27" w:name="waisgeneral"/>
      <w:bookmarkEnd w:id="27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-0.08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0.32</w:t>
      </w:r>
    </w:p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94.71(0.23)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  <w:tc>
          <w:p>
            <w:pPr>
              <w:pStyle w:val="Compact"/>
              <w:jc w:val="center"/>
            </w:pPr>
            <w:r>
              <w:t xml:space="preserve">-2.76(0.09)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  <w:tc>
          <w:p>
            <w:pPr>
              <w:pStyle w:val="Compact"/>
              <w:jc w:val="center"/>
            </w:pPr>
            <w:r>
              <w:t xml:space="preserve">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  <w:tc>
          <w:p>
            <w:pPr>
              <w:pStyle w:val="Compact"/>
              <w:jc w:val="center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  <w:tc>
          <w:p>
            <w:pPr>
              <w:pStyle w:val="Compact"/>
              <w:jc w:val="center"/>
            </w:pPr>
            <w:r>
              <w:t xml:space="preserve">-3.39(0.07)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  <w:tc>
          <w:p>
            <w:pPr>
              <w:pStyle w:val="Compact"/>
              <w:jc w:val="center"/>
            </w:pPr>
            <w:r>
              <w:t xml:space="preserve">-2.60(0.08)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  <w:tc>
          <w:p>
            <w:pPr>
              <w:pStyle w:val="Compact"/>
              <w:jc w:val="center"/>
            </w:pPr>
            <w:r>
              <w:t xml:space="preserve">0.59(0.04)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  <w:tc>
          <w:p>
            <w:pPr>
              <w:pStyle w:val="Compact"/>
              <w:jc w:val="center"/>
            </w:pPr>
            <w:r>
              <w:t xml:space="preserve">0.56(0.03)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360.57(2.03)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  <w:tc>
          <w:p>
            <w:pPr>
              <w:pStyle w:val="Compact"/>
              <w:jc w:val="center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175.45(1.16)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-23.18(0.50)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0.10(0.12)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center"/>
            </w:pPr>
            <w:r>
              <w:t xml:space="preserve">0.24(0.20)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center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center"/>
            </w:pPr>
            <w:r>
              <w:t xml:space="preserve">-4,208(290)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  <w:tc>
          <w:p>
            <w:pPr>
              <w:pStyle w:val="Compact"/>
              <w:jc w:val="center"/>
            </w:pPr>
            <w:r>
              <w:t xml:space="preserve">8,490(581)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  <w:tc>
          <w:p>
            <w:pPr>
              <w:pStyle w:val="Compact"/>
              <w:jc w:val="center"/>
            </w:pPr>
            <w:r>
              <w:t xml:space="preserve">8,621(581)</w:t>
            </w:r>
          </w:p>
        </w:tc>
      </w:tr>
    </w:tbl>
    <w:p>
      <w:pPr>
        <w:pStyle w:val="Heading2"/>
      </w:pPr>
      <w:bookmarkStart w:id="30" w:name="fluency-1"/>
      <w:bookmarkEnd w:id="30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31" w:name="piccomp-1"/>
      <w:bookmarkEnd w:id="31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</w:tr>
    </w:tbl>
    <w:p>
      <w:pPr>
        <w:pStyle w:val="Heading2"/>
      </w:pPr>
      <w:bookmarkStart w:id="32" w:name="spatial_ab-1"/>
      <w:bookmarkEnd w:id="32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</w:tr>
    </w:tbl>
    <w:p>
      <w:pPr>
        <w:pStyle w:val="Heading2"/>
      </w:pPr>
      <w:bookmarkStart w:id="34" w:name="waisgeneral-1"/>
      <w:bookmarkEnd w:id="34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</w:tr>
    </w:tbl>
    <w:p>
      <w:pPr>
        <w:pStyle w:val="Heading2"/>
      </w:pPr>
      <w:bookmarkStart w:id="35" w:name="summary-1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0.65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scales_0.4.1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9eef0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