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EAS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grip-available-models"/>
      <w:bookmarkEnd w:id="21"/>
      <w:r>
        <w:t xml:space="preserve">grip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180.70(229.38)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-15.06(18.07)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  <w:tc>
          <w:p>
            <w:pPr>
              <w:pStyle w:val="Compact"/>
              <w:jc w:val="right"/>
            </w:pPr>
            <w:r>
              <w:t xml:space="preserve">-2.10(3.07)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  <w:tc>
          <w:p>
            <w:pPr>
              <w:pStyle w:val="Compact"/>
              <w:jc w:val="right"/>
            </w:pPr>
            <w:r>
              <w:t xml:space="preserve">-1.00(1.22)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  <w:tc>
          <w:p>
            <w:pPr>
              <w:pStyle w:val="Compact"/>
              <w:jc w:val="right"/>
            </w:pPr>
            <w:r>
              <w:t xml:space="preserve">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  <w:tc>
          <w:p>
            <w:pPr>
              <w:pStyle w:val="Compact"/>
              <w:jc w:val="right"/>
            </w:pPr>
            <w:r>
              <w:t xml:space="preserve">0.19(1.10)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  <w:tc>
          <w:p>
            <w:pPr>
              <w:pStyle w:val="Compact"/>
              <w:jc w:val="right"/>
            </w:pPr>
            <w:r>
              <w:t xml:space="preserve">-11.22(16.28)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  <w:tc>
          <w:p>
            <w:pPr>
              <w:pStyle w:val="Compact"/>
              <w:jc w:val="right"/>
            </w:pPr>
            <w:r>
              <w:t xml:space="preserve">-14.04(16.66)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  <w:tc>
          <w:p>
            <w:pPr>
              <w:pStyle w:val="Compact"/>
              <w:jc w:val="right"/>
            </w:pPr>
            <w:r>
              <w:t xml:space="preserve">0.06(0.18)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0.33(0.32)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  <w:tc>
          <w:p>
            <w:pPr>
              <w:pStyle w:val="Compact"/>
              <w:jc w:val="right"/>
            </w:pPr>
            <w:r>
              <w:t xml:space="preserve">0.31(0.46)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  <w:tc>
          <w:p>
            <w:pPr>
              <w:pStyle w:val="Compact"/>
              <w:jc w:val="right"/>
            </w:pPr>
            <w:r>
              <w:t xml:space="preserve">0.97(1.40)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  <w:tc>
          <w:p>
            <w:pPr>
              <w:pStyle w:val="Compact"/>
              <w:jc w:val="right"/>
            </w:pPr>
            <w:r>
              <w:t xml:space="preserve">1.66(1.94)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  <w:tc>
          <w:p>
            <w:pPr>
              <w:pStyle w:val="Compact"/>
              <w:jc w:val="right"/>
            </w:pPr>
            <w:r>
              <w:t xml:space="preserve">-0.20(0.64)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2361.87(3304.62)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  <w:tc>
          <w:p>
            <w:pPr>
              <w:pStyle w:val="Compact"/>
              <w:jc w:val="right"/>
            </w:pPr>
            <w:r>
              <w:t xml:space="preserve">30.10(42.24)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  <w:tc>
          <w:p>
            <w:pPr>
              <w:pStyle w:val="Compact"/>
              <w:jc w:val="right"/>
            </w:pPr>
            <w:r>
              <w:t xml:space="preserve">824.17(1157.35)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  <w:tc>
          <w:p>
            <w:pPr>
              <w:pStyle w:val="Compact"/>
              <w:jc w:val="right"/>
            </w:pPr>
            <w:r>
              <w:t xml:space="preserve">-172.23(241.62)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0.23(0.08)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0.21(0.25)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148.50(2.12)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  <w:tc>
          <w:p>
            <w:pPr>
              <w:pStyle w:val="Compact"/>
              <w:jc w:val="right"/>
            </w:pPr>
            <w:r>
              <w:t xml:space="preserve">-3,116( 659)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  <w:tc>
          <w:p>
            <w:pPr>
              <w:pStyle w:val="Compact"/>
              <w:jc w:val="right"/>
            </w:pPr>
            <w:r>
              <w:t xml:space="preserve">6,315(1,319)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  <w:tc>
          <w:p>
            <w:pPr>
              <w:pStyle w:val="Compact"/>
              <w:jc w:val="right"/>
            </w:pPr>
            <w:r>
              <w:t xml:space="preserve">6,438(1,319)</w:t>
            </w:r>
          </w:p>
        </w:tc>
      </w:tr>
    </w:tbl>
    <w:p>
      <w:pPr>
        <w:pStyle w:val="Heading2"/>
      </w:pPr>
      <w:bookmarkStart w:id="23" w:name="gait"/>
      <w:bookmarkEnd w:id="23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18.51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-2.29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(0.16)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0.97 (0.88)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(2.46)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-2.25 (1.60)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(0.59)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0.25 (0.32)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109.59 (8.23)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-3.19 (2.55)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-1.51 (0.47)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(0.86)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(0.33)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3.15 (4.09)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-4.26 (6.99)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-18.34 (5.85)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0.11 (0.29)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-0.33 (1.30)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 (1.95)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0.50 (2.24)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25.14 (5.30)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5.79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-1.38 (1.16)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343.99 (79.40)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6.37 (3.90)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60.52 (8.03)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-13.23 (17.91)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16.31 (16.92)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0.46 (0.74)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0.51 (1.84) .78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-2,650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5,383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5,505</w:t>
            </w:r>
          </w:p>
        </w:tc>
      </w:tr>
    </w:tbl>
    <w:p>
      <w:pPr>
        <w:pStyle w:val="Heading2"/>
      </w:pPr>
      <w:bookmarkStart w:id="24" w:name="pef"/>
      <w:bookmarkEnd w:id="24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342.90 (26.27)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-27.84 (7.34)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-4.28 (2.00)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-1.86 (2.91)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0.40 (1.28)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-0.58 (17.41)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-22.73 (27.30)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-25.82 (24.75)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0.19 (0.55)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0.55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0.64 (0.37)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1.96 (4.37)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3.03 (10.01)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-0.66 (8.73)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18.66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-2.32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0.06 (0.12)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-0.15 (0.16)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0.96 (1.11)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(2.73)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-2.27 (1.68)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-0.02 (0.32)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0.29 (0.61)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0.21 (0.34)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4698.59 (1151.56)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59.97 (45.73)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1642.54 (106.77)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-343.08 (186.70)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24.96 (5.37)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(0.23)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5.78 (0.52)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-1.33 (1.22)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98.73 (59.72)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(2.96)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11.15 (9.83) .26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-3,583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7,247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7,371</w:t>
            </w:r>
          </w:p>
        </w:tc>
      </w:tr>
    </w:tbl>
    <w:p>
      <w:pPr>
        <w:pStyle w:val="Heading2"/>
      </w:pPr>
      <w:bookmarkStart w:id="25" w:name="summary"/>
      <w:bookmarkEnd w:id="25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</w:tbl>
    <w:p>
      <w:pPr>
        <w:pStyle w:val="Heading1"/>
      </w:pPr>
      <w:bookmarkStart w:id="26" w:name="male"/>
      <w:bookmarkEnd w:id="26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  <w:r>
        <w:t xml:space="preserve">,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218.75(261.60)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  <w:tc>
          <w:p>
            <w:pPr>
              <w:pStyle w:val="Compact"/>
              <w:jc w:val="right"/>
            </w:pPr>
            <w:r>
              <w:t xml:space="preserve">-15.03(17.84)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  <w:tc>
          <w:p>
            <w:pPr>
              <w:pStyle w:val="Compact"/>
              <w:jc w:val="right"/>
            </w:pPr>
            <w:r>
              <w:t xml:space="preserve">-2.99(3.46)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  <w:tc>
          <w:p>
            <w:pPr>
              <w:pStyle w:val="Compact"/>
              <w:jc w:val="right"/>
            </w:pPr>
            <w:r>
              <w:t xml:space="preserve">2.71(4.20)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  <w:tc>
          <w:p>
            <w:pPr>
              <w:pStyle w:val="Compact"/>
              <w:jc w:val="right"/>
            </w:pPr>
            <w:r>
              <w:t xml:space="preserve">1.63(2.01)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  <w:tc>
          <w:p>
            <w:pPr>
              <w:pStyle w:val="Compact"/>
              <w:jc w:val="right"/>
            </w:pPr>
            <w:r>
              <w:t xml:space="preserve">-12.69(17.63)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  <w:tc>
          <w:p>
            <w:pPr>
              <w:pStyle w:val="Compact"/>
              <w:jc w:val="right"/>
            </w:pPr>
            <w:r>
              <w:t xml:space="preserve">-9.38(12.76)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  <w:tc>
          <w:p>
            <w:pPr>
              <w:pStyle w:val="Compact"/>
              <w:jc w:val="right"/>
            </w:pPr>
            <w:r>
              <w:t xml:space="preserve">-6.01(7.95)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  <w:tc>
          <w:p>
            <w:pPr>
              <w:pStyle w:val="Compact"/>
              <w:jc w:val="right"/>
            </w:pPr>
            <w:r>
              <w:t xml:space="preserve">0.34(0.53)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  <w:tc>
          <w:p>
            <w:pPr>
              <w:pStyle w:val="Compact"/>
              <w:jc w:val="right"/>
            </w:pPr>
            <w:r>
              <w:t xml:space="preserve">-0.06(0.12)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  <w:tc>
          <w:p>
            <w:pPr>
              <w:pStyle w:val="Compact"/>
              <w:jc w:val="right"/>
            </w:pPr>
            <w:r>
              <w:t xml:space="preserve">-0.01(0.01)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  <w:tc>
          <w:p>
            <w:pPr>
              <w:pStyle w:val="Compact"/>
              <w:jc w:val="right"/>
            </w:pPr>
            <w:r>
              <w:t xml:space="preserve">1.27(1.17)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  <w:tc>
          <w:p>
            <w:pPr>
              <w:pStyle w:val="Compact"/>
              <w:jc w:val="right"/>
            </w:pPr>
            <w:r>
              <w:t xml:space="preserve">-2.60(4.76)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  <w:tc>
          <w:p>
            <w:pPr>
              <w:pStyle w:val="Compact"/>
              <w:jc w:val="right"/>
            </w:pPr>
            <w:r>
              <w:t xml:space="preserve">-2.05(2.23)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  <w:tc>
          <w:p>
            <w:pPr>
              <w:pStyle w:val="Compact"/>
              <w:jc w:val="right"/>
            </w:pPr>
            <w:r>
              <w:t xml:space="preserve">6099.45(8587.97)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  <w:tc>
          <w:p>
            <w:pPr>
              <w:pStyle w:val="Compact"/>
              <w:jc w:val="right"/>
            </w:pPr>
            <w:r>
              <w:t xml:space="preserve">159.33(224.30)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2121.19(2975.34)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  <w:tc>
          <w:p>
            <w:pPr>
              <w:pStyle w:val="Compact"/>
              <w:jc w:val="right"/>
            </w:pPr>
            <w:r>
              <w:t xml:space="preserve">-420.87(591.99)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0.18(0.19)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right"/>
            </w:pPr>
            <w:r>
              <w:t xml:space="preserve">0.16(0.11)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  <w:tc>
          <w:p>
            <w:pPr>
              <w:pStyle w:val="Compact"/>
              <w:jc w:val="right"/>
            </w:pPr>
            <w:r>
              <w:t xml:space="preserve">-1,852(423)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  <w:tc>
          <w:p>
            <w:pPr>
              <w:pStyle w:val="Compact"/>
              <w:jc w:val="right"/>
            </w:pPr>
            <w:r>
              <w:t xml:space="preserve">3,787(846)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  <w:tc>
          <w:p>
            <w:pPr>
              <w:pStyle w:val="Compact"/>
              <w:jc w:val="right"/>
            </w:pPr>
            <w:r>
              <w:t xml:space="preserve">3,880(846)</w:t>
            </w:r>
          </w:p>
        </w:tc>
      </w:tr>
    </w:tbl>
    <w:p>
      <w:pPr>
        <w:pStyle w:val="Heading2"/>
      </w:pPr>
      <w:bookmarkStart w:id="27" w:name="gait-1"/>
      <w:bookmarkEnd w:id="27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33.77 (7.42)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-2.42 (2.72)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-0.55 (0.33)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-0.26 (0.48)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0.21 (0.24)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-0.22 (3.30)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-0.36 (3.20)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-0.39 (3.70)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(0.13)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0.00 (0.10)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0.45 (0.89)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0.77 (1.46)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-0.47 (1.83)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105.43 (15.43)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-1.24 (5.30)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-0.54 (0.61)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0.69 (1.15)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0.08 (0.45)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-0.78 (8.01)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-2.56 (12.21)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-4.71 (8.79)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-0.28 (0.26)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0.66 (2.71)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0.42 (4.09)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0.04 (3.26)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26.84 (16.36)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0.73 (1.20)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17.30 (4.73)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-2.27 (3.72)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213.71 (102.29)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0.77 (7.95)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75.38 (31.90)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(19.88)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23.89 (37.41)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(2.28)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7.76 (10.60) .46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-1,553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3,188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3,282</w:t>
            </w:r>
          </w:p>
        </w:tc>
      </w:tr>
    </w:tbl>
    <w:p>
      <w:pPr>
        <w:pStyle w:val="Heading2"/>
      </w:pPr>
      <w:bookmarkStart w:id="28" w:name="pef-1"/>
      <w:bookmarkEnd w:id="28"/>
      <w:r>
        <w:t xml:space="preserve">pef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403.73 (136.72)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-27.65 (46.58)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-5.44 (7.00)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5.68 (10.55)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3.06 (3.51)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-25.15 (76.89)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-18.40 (84.79)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-11.63 (54.41)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 (2.11)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-0.14 (2.66)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 (1.58)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2.10 (21.13)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-5.97 (30.99)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-3.63 (24.77)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33.71 (5.83)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-2.30 (1.72)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 (0.28)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-0.12 (3.61)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-0.44 (3.70)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-0.44 (3.34)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0.04 (0.12)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0.82 (0.99)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-0.42 (0.97)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12172.06 (6209.04)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317.94 (483.08)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4225.07 (1115.18)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-839.47 (1678.46)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26.60 (19.35)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0.63 (1.30)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17.71 (3.45)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-2.26 (3.64)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24.83 (258.35)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1.16 (32.16)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65.69 (48.29) .17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-2,151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4,385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4,478</w:t>
            </w:r>
          </w:p>
        </w:tc>
      </w:tr>
    </w:tbl>
    <w:p>
      <w:pPr>
        <w:pStyle w:val="Heading2"/>
      </w:pPr>
      <w:bookmarkStart w:id="29" w:name="summary-1"/>
      <w:bookmarkEnd w:id="2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pef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p>
      <w:pPr>
        <w:pStyle w:val="Heading1"/>
      </w:pPr>
      <w:bookmarkStart w:id="30" w:name="pef-available-models"/>
      <w:bookmarkEnd w:id="30"/>
      <w:r>
        <w:t xml:space="preserve">pef : 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EAS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31" w:name="female-1"/>
      <w:bookmarkEnd w:id="31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345.14(NA)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  <w:tc>
          <w:p>
            <w:pPr>
              <w:pStyle w:val="Compact"/>
              <w:jc w:val="right"/>
            </w:pPr>
            <w:r>
              <w:t xml:space="preserve">-28.95(NA)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  <w:tc>
          <w:p>
            <w:pPr>
              <w:pStyle w:val="Compact"/>
              <w:jc w:val="right"/>
            </w:pPr>
            <w:r>
              <w:t xml:space="preserve">-4.33(NA)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  <w:tc>
          <w:p>
            <w:pPr>
              <w:pStyle w:val="Compact"/>
              <w:jc w:val="right"/>
            </w:pPr>
            <w:r>
              <w:t xml:space="preserve">-2.12(NA)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  <w:tc>
          <w:p>
            <w:pPr>
              <w:pStyle w:val="Compact"/>
              <w:jc w:val="right"/>
            </w:pPr>
            <w:r>
              <w:t xml:space="preserve">0.41(NA)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  <w:tc>
          <w:p>
            <w:pPr>
              <w:pStyle w:val="Compact"/>
              <w:jc w:val="right"/>
            </w:pPr>
            <w:r>
              <w:t xml:space="preserve">-0.64(NA)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  <w:tc>
          <w:p>
            <w:pPr>
              <w:pStyle w:val="Compact"/>
              <w:jc w:val="right"/>
            </w:pPr>
            <w:r>
              <w:t xml:space="preserve">-22.74(NA)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  <w:tc>
          <w:p>
            <w:pPr>
              <w:pStyle w:val="Compact"/>
              <w:jc w:val="right"/>
            </w:pPr>
            <w:r>
              <w:t xml:space="preserve">-25.57(NA)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  <w:tc>
          <w:p>
            <w:pPr>
              <w:pStyle w:val="Compact"/>
              <w:jc w:val="right"/>
            </w:pPr>
            <w:r>
              <w:t xml:space="preserve">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  <w:tc>
          <w:p>
            <w:pPr>
              <w:pStyle w:val="Compact"/>
              <w:jc w:val="right"/>
            </w:pPr>
            <w:r>
              <w:t xml:space="preserve">3.15(NA)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  <w:tc>
          <w:p>
            <w:pPr>
              <w:pStyle w:val="Compact"/>
              <w:jc w:val="right"/>
            </w:pPr>
            <w:r>
              <w:t xml:space="preserve">-0.94(NA)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4732.25(NA)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  <w:tc>
          <w:p>
            <w:pPr>
              <w:pStyle w:val="Compact"/>
              <w:jc w:val="right"/>
            </w:pPr>
            <w:r>
              <w:t xml:space="preserve">58.23(NA)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  <w:tc>
          <w:p>
            <w:pPr>
              <w:pStyle w:val="Compact"/>
              <w:jc w:val="right"/>
            </w:pPr>
            <w:r>
              <w:t xml:space="preserve">1650.99(NA)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  <w:tc>
          <w:p>
            <w:pPr>
              <w:pStyle w:val="Compact"/>
              <w:jc w:val="right"/>
            </w:pPr>
            <w:r>
              <w:t xml:space="preserve">-351.80(NA)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  <w:tc>
          <w:p>
            <w:pPr>
              <w:pStyle w:val="Compact"/>
              <w:jc w:val="right"/>
            </w:pPr>
            <w:r>
              <w:t xml:space="preserve">-0.55(NA)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150.00(NA)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  <w:tc>
          <w:p>
            <w:pPr>
              <w:pStyle w:val="Compact"/>
              <w:jc w:val="right"/>
            </w:pPr>
            <w:r>
              <w:t xml:space="preserve">-3,904(NA)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  <w:tc>
          <w:p>
            <w:pPr>
              <w:pStyle w:val="Compact"/>
              <w:jc w:val="right"/>
            </w:pPr>
            <w:r>
              <w:t xml:space="preserve">7,890(NA)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  <w:tc>
          <w:p>
            <w:pPr>
              <w:pStyle w:val="Compact"/>
              <w:jc w:val="right"/>
            </w:pPr>
            <w:r>
              <w:t xml:space="preserve">8,014(NA)</w:t>
            </w:r>
          </w:p>
        </w:tc>
      </w:tr>
    </w:tbl>
    <w:p>
      <w:pPr>
        <w:pStyle w:val="Heading2"/>
      </w:pPr>
      <w:bookmarkStart w:id="32" w:name="gait-2"/>
      <w:bookmarkEnd w:id="32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345.14 (25.01)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-28.95 (7.62)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-4.33 (1.67)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-2.12 (2.55)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0.41 (1.27)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-0.64 (15.26)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-22.74 (25.25)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-25.57 (25.34)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0.20 (0.49)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(0.88)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0.62 (0.32)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1.95 (3.77)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3.15 (8.63)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-0.94 (7.94)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110.61 (8.32)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 (2.38)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-1.56 (0.48)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0.31 (0.84)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0.04 (0.33)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2.99 (4.44)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-5.17 (6.84)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-18.82 (6.26)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0.12 (0.29)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-0.31 (1.31)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0.10 (2.05)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0.51 (2.04)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4732.25 (1131.20)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58.23 (43.97)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1650.99 (113.82)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-351.80 (181.86)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347.82 (88.89)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6.74 (3.85)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60.03 (6.89)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-15.13 (19.84)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67.25 (237.19)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-10.98 (12.32)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29.78 (37.80) .43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-3,904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7,890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8,014</w:t>
            </w:r>
          </w:p>
        </w:tc>
      </w:tr>
    </w:tbl>
    <w:p>
      <w:pPr>
        <w:pStyle w:val="Heading2"/>
      </w:pPr>
      <w:bookmarkStart w:id="33" w:name="summary-2"/>
      <w:bookmarkEnd w:id="3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</w:tbl>
    <w:p>
      <w:pPr>
        <w:pStyle w:val="Heading1"/>
      </w:pPr>
      <w:bookmarkStart w:id="34" w:name="male-1"/>
      <w:bookmarkEnd w:id="34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  <w:tc>
          <w:p>
            <w:pPr>
              <w:pStyle w:val="Compact"/>
              <w:jc w:val="right"/>
            </w:pPr>
            <w:r>
              <w:t xml:space="preserve">404.36(NA)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  <w:tc>
          <w:p>
            <w:pPr>
              <w:pStyle w:val="Compact"/>
              <w:jc w:val="right"/>
            </w:pPr>
            <w:r>
              <w:t xml:space="preserve">-26.81(NA)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  <w:tc>
          <w:p>
            <w:pPr>
              <w:pStyle w:val="Compact"/>
              <w:jc w:val="right"/>
            </w:pPr>
            <w:r>
              <w:t xml:space="preserve">-4.75(NA)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  <w:tc>
          <w:p>
            <w:pPr>
              <w:pStyle w:val="Compact"/>
              <w:jc w:val="right"/>
            </w:pPr>
            <w:r>
              <w:t xml:space="preserve">4.51(NA)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  <w:tc>
          <w:p>
            <w:pPr>
              <w:pStyle w:val="Compact"/>
              <w:jc w:val="right"/>
            </w:pPr>
            <w:r>
              <w:t xml:space="preserve">3.32(NA)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  <w:tc>
          <w:p>
            <w:pPr>
              <w:pStyle w:val="Compact"/>
              <w:jc w:val="right"/>
            </w:pPr>
            <w:r>
              <w:t xml:space="preserve">-23.83(NA)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  <w:tc>
          <w:p>
            <w:pPr>
              <w:pStyle w:val="Compact"/>
              <w:jc w:val="right"/>
            </w:pPr>
            <w:r>
              <w:t xml:space="preserve">-19.67(NA)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  <w:tc>
          <w:p>
            <w:pPr>
              <w:pStyle w:val="Compact"/>
              <w:jc w:val="right"/>
            </w:pPr>
            <w:r>
              <w:t xml:space="preserve">-15.87(NA)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  <w:tc>
          <w:p>
            <w:pPr>
              <w:pStyle w:val="Compact"/>
              <w:jc w:val="right"/>
            </w:pPr>
            <w:r>
              <w:t xml:space="preserve">0.72(NA)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  <w:tc>
          <w:p>
            <w:pPr>
              <w:pStyle w:val="Compact"/>
              <w:jc w:val="right"/>
            </w:pPr>
            <w:r>
              <w:t xml:space="preserve">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  <w:tc>
          <w:p>
            <w:pPr>
              <w:pStyle w:val="Compact"/>
              <w:jc w:val="right"/>
            </w:pPr>
            <w:r>
              <w:t xml:space="preserve">-4.61(NA)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  <w:tc>
          <w:p>
            <w:pPr>
              <w:pStyle w:val="Compact"/>
              <w:jc w:val="right"/>
            </w:pPr>
            <w:r>
              <w:t xml:space="preserve">-0.50(NA)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  <w:tc>
          <w:p>
            <w:pPr>
              <w:pStyle w:val="Compact"/>
              <w:jc w:val="right"/>
            </w:pPr>
            <w:r>
              <w:t xml:space="preserve">12233.08(NA)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  <w:tc>
          <w:p>
            <w:pPr>
              <w:pStyle w:val="Compact"/>
              <w:jc w:val="right"/>
            </w:pPr>
            <w:r>
              <w:t xml:space="preserve">269.59(NA)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  <w:tc>
          <w:p>
            <w:pPr>
              <w:pStyle w:val="Compact"/>
              <w:jc w:val="right"/>
            </w:pPr>
            <w:r>
              <w:t xml:space="preserve">4251.44(NA)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  <w:tc>
          <w:p>
            <w:pPr>
              <w:pStyle w:val="Compact"/>
              <w:jc w:val="right"/>
            </w:pPr>
            <w:r>
              <w:t xml:space="preserve">-826.29(NA)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  <w:tc>
          <w:p>
            <w:pPr>
              <w:pStyle w:val="Compact"/>
              <w:jc w:val="right"/>
            </w:pPr>
            <w:r>
              <w:t xml:space="preserve">-0.45(NA)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right"/>
            </w:pPr>
            <w:r>
              <w:t xml:space="preserve">0.18(NA)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72.00(NA)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  <w:tc>
          <w:p>
            <w:pPr>
              <w:pStyle w:val="Compact"/>
              <w:jc w:val="right"/>
            </w:pPr>
            <w:r>
              <w:t xml:space="preserve">-2,231(NA)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  <w:tc>
          <w:p>
            <w:pPr>
              <w:pStyle w:val="Compact"/>
              <w:jc w:val="right"/>
            </w:pPr>
            <w:r>
              <w:t xml:space="preserve">4,544(NA)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  <w:tc>
          <w:p>
            <w:pPr>
              <w:pStyle w:val="Compact"/>
              <w:jc w:val="right"/>
            </w:pPr>
            <w:r>
              <w:t xml:space="preserve">4,637(NA)</w:t>
            </w:r>
          </w:p>
        </w:tc>
      </w:tr>
    </w:tbl>
    <w:p>
      <w:pPr>
        <w:pStyle w:val="Heading2"/>
      </w:pPr>
      <w:bookmarkStart w:id="35" w:name="gait-3"/>
      <w:bookmarkEnd w:id="35"/>
      <w:r>
        <w:t xml:space="preserve">gait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gait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404.36 (113.72)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-26.81 (52.66)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-4.75 (5.54)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4.51 (8.77)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3.32 (4.38)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-23.83 (86.98)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-19.67 (74.06)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-15.87 (79.07)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0.22 (2.18)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0.72 (2.54)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-0.24 (1.71)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0.19 (25.48)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-4.61 (38.42)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-0.50 (32.22)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106.48 (14.51)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-2.07 (6.16)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-0.47 (0.58)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0.67 (1.06)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(0.46)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-1.45 (7.03)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-2.65 (13.60)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-4.94 (11.15)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-0.27 (0.42)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0.05 (0.21)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0.95 (3.06)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0.35 (5.89)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-0.11 (4.81)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12233.08 (6432.02)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269.59 (447.93)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4251.44 (862.69)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-826.29 (1495.31)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227.47 (127.34)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(5.37)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73.71 (17.69)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-3.42 (33.86)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-64.30 (734.65)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-7.98 (29.04)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101.38 (125.95) .42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-0.448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-2,231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4,544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4,637</w:t>
            </w:r>
          </w:p>
        </w:tc>
      </w:tr>
    </w:tbl>
    <w:p>
      <w:pPr>
        <w:pStyle w:val="Heading2"/>
      </w:pPr>
      <w:bookmarkStart w:id="36" w:name="summary-3"/>
      <w:bookmarkEnd w:id="36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EAS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-0.45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gait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grid     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RColorBrewer_1.1-2        dichromat_2.0-0           extrafont_0.17            rhdf5_2.16.0             </w:t>
      </w:r>
      <w:r>
        <w:br w:type="textWrapping"/>
      </w:r>
      <w:r>
        <w:rPr>
          <w:rStyle w:val="VerbatimChar"/>
        </w:rPr>
        <w:t xml:space="preserve">[5] IalsaSynthesis_0.1.8.9000 MplusAutomation_0.6-4     knitr_1.14                ggplot2_2.1.0            </w:t>
      </w:r>
      <w:r>
        <w:br w:type="textWrapping"/>
      </w:r>
      <w:r>
        <w:rPr>
          <w:rStyle w:val="VerbatimChar"/>
        </w:rPr>
        <w:t xml:space="preserve">[9]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zlibbioc_1.18.0  tools_3.3.1     </w:t>
      </w:r>
      <w:r>
        <w:br w:type="textWrapping"/>
      </w:r>
      <w:r>
        <w:rPr>
          <w:rStyle w:val="VerbatimChar"/>
        </w:rPr>
        <w:t xml:space="preserve"> [7] boot_1.3-18      digest_0.6.10    evaluate_0.10    tibble_1.2       gtable_0.2.0     lattice_0.20-34 </w:t>
      </w:r>
      <w:r>
        <w:br w:type="textWrapping"/>
      </w:r>
      <w:r>
        <w:rPr>
          <w:rStyle w:val="VerbatimChar"/>
        </w:rPr>
        <w:t xml:space="preserve">[13] texreg_1.36.7    DBI_0.5-1        yaml_2.1.13      proto_0.3-10     Rttf2pt1_1.3.4   coda_0.18-1     </w:t>
      </w:r>
      <w:r>
        <w:br w:type="textWrapping"/>
      </w:r>
      <w:r>
        <w:rPr>
          <w:rStyle w:val="VerbatimChar"/>
        </w:rPr>
        <w:t xml:space="preserve">[19] dplyr_0.5.0      stringr_1.1.0    htmlwidgets_0.7  DT_0.2           R6_2.2.0         rmarkdown_1.1   </w:t>
      </w:r>
      <w:r>
        <w:br w:type="textWrapping"/>
      </w:r>
      <w:r>
        <w:rPr>
          <w:rStyle w:val="VerbatimChar"/>
        </w:rPr>
        <w:t xml:space="preserve">[25] gsubfn_0.6-6     extrafontdb_1.0  pander_0.6.0     tidyr_0.6.0      readr_1.0.0      scales_0.4.0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labeling_0.3     stringi_1.1.2    lazyeval_0.2.0   munsell_0.4.3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ab892e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 : Seed report</dc:title>
  <dc:creator/>
</cp:coreProperties>
</file>