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ILSE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ILSE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87.87 (13.62)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-6.81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2.82 (1.83) .12</w:t>
            </w:r>
          </w:p>
        </w:tc>
        <w:tc>
          <w:p>
            <w:pPr>
              <w:pStyle w:val="Compact"/>
              <w:jc w:val="right"/>
            </w:pPr>
            <w:r>
              <w:t xml:space="preserve">2.82(NA)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-3.11 (3.59) .39</w:t>
            </w:r>
          </w:p>
        </w:tc>
        <w:tc>
          <w:p>
            <w:pPr>
              <w:pStyle w:val="Compact"/>
              <w:jc w:val="right"/>
            </w:pPr>
            <w:r>
              <w:t xml:space="preserve">-3.11(NA)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-4.98 (3.75) .18</w:t>
            </w:r>
          </w:p>
        </w:tc>
        <w:tc>
          <w:p>
            <w:pPr>
              <w:pStyle w:val="Compact"/>
              <w:jc w:val="right"/>
            </w:pPr>
            <w:r>
              <w:t xml:space="preserve">-4.98(NA)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1.79 (4.27) .68</w:t>
            </w:r>
          </w:p>
        </w:tc>
        <w:tc>
          <w:p>
            <w:pPr>
              <w:pStyle w:val="Compact"/>
              <w:jc w:val="right"/>
            </w:pPr>
            <w:r>
              <w:t xml:space="preserve">1.79(NA)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  <w:tc>
          <w:p>
            <w:pPr>
              <w:pStyle w:val="Compact"/>
              <w:jc w:val="right"/>
            </w:pPr>
            <w:r>
              <w:t xml:space="preserve">-0.59(NA)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 (0.50) .18</w:t>
            </w:r>
          </w:p>
        </w:tc>
        <w:tc>
          <w:p>
            <w:pPr>
              <w:pStyle w:val="Compact"/>
              <w:jc w:val="right"/>
            </w:pPr>
            <w:r>
              <w:t xml:space="preserve">0.67(NA)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.51</w:t>
            </w:r>
          </w:p>
        </w:tc>
        <w:tc>
          <w:p>
            <w:pPr>
              <w:pStyle w:val="Compact"/>
              <w:jc w:val="right"/>
            </w:pPr>
            <w:r>
              <w:t xml:space="preserve">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(0.61) .97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4.86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-0.51 (0.37)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0.69 (0.40)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422.82 (69.53)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5.17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167.40 (20.67)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-45.70 (8.95)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-45.70(NA)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(0.62)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-1.39 (5.52)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1.68 (2.37)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0.35(NA)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224.00(NA)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-2,888</w:t>
            </w:r>
          </w:p>
        </w:tc>
        <w:tc>
          <w:p>
            <w:pPr>
              <w:pStyle w:val="Compact"/>
              <w:jc w:val="right"/>
            </w:pPr>
            <w:r>
              <w:t xml:space="preserve">-2,888(NA)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5,850</w:t>
            </w:r>
          </w:p>
        </w:tc>
        <w:tc>
          <w:p>
            <w:pPr>
              <w:pStyle w:val="Compact"/>
              <w:jc w:val="right"/>
            </w:pPr>
            <w:r>
              <w:t xml:space="preserve">5,850(NA)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5,977</w:t>
            </w:r>
          </w:p>
        </w:tc>
        <w:tc>
          <w:p>
            <w:pPr>
              <w:pStyle w:val="Compact"/>
              <w:jc w:val="right"/>
            </w:pPr>
            <w:r>
              <w:t xml:space="preserve">5,977(NA)</w:t>
            </w:r>
          </w:p>
        </w:tc>
      </w:tr>
    </w:tbl>
    <w:p>
      <w:pPr>
        <w:pStyle w:val="Heading2"/>
      </w:pPr>
      <w:bookmarkStart w:id="23" w:name="tug"/>
      <w:bookmarkEnd w:id="23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84.21 (13.39)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84.87 (13.48)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87.87 (13.62)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-6.02 (2.24) .01</w:t>
            </w:r>
          </w:p>
        </w:tc>
        <w:tc>
          <w:p>
            <w:pPr>
              <w:pStyle w:val="Compact"/>
              <w:jc w:val="right"/>
            </w:pPr>
            <w:r>
              <w:t xml:space="preserve">-6.72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(2.41)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2.43 (1.82) .18</w:t>
            </w:r>
          </w:p>
        </w:tc>
        <w:tc>
          <w:p>
            <w:pPr>
              <w:pStyle w:val="Compact"/>
              <w:jc w:val="right"/>
            </w:pPr>
            <w:r>
              <w:t xml:space="preserve">2.54 (1.82) .16</w:t>
            </w:r>
          </w:p>
        </w:tc>
        <w:tc>
          <w:p>
            <w:pPr>
              <w:pStyle w:val="Compact"/>
              <w:jc w:val="right"/>
            </w:pPr>
            <w:r>
              <w:t xml:space="preserve">2.82 (1.83)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(3.51) .30</w:t>
            </w:r>
          </w:p>
        </w:tc>
        <w:tc>
          <w:p>
            <w:pPr>
              <w:pStyle w:val="Compact"/>
              <w:jc w:val="right"/>
            </w:pPr>
            <w:r>
              <w:t xml:space="preserve">-3.11 (3.59)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(0.31) .06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-4.98 (3.75)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1.79 (4.27)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-0.59 (0.31) .06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(0.48) .15</w:t>
            </w:r>
          </w:p>
        </w:tc>
        <w:tc>
          <w:p>
            <w:pPr>
              <w:pStyle w:val="Compact"/>
              <w:jc w:val="right"/>
            </w:pPr>
            <w:r>
              <w:t xml:space="preserve">0.67 (0.50)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4.68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4.97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.08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(0.18) .37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.47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.11</w:t>
            </w:r>
          </w:p>
        </w:tc>
        <w:tc>
          <w:p>
            <w:pPr>
              <w:pStyle w:val="Compact"/>
              <w:jc w:val="right"/>
            </w:pPr>
            <w:r>
              <w:t xml:space="preserve">-0.51 (0.37)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(0.40)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427.75 (67.94)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421.16 (68.11)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422.82 (69.53)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4.80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176.02 (21.27)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171.34 (20.64)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167.40 (20.67)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-44.25 (8.36)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-44.63 (8.53)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-45.70 (8.95)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(0.58) .02</w:t>
            </w:r>
          </w:p>
        </w:tc>
        <w:tc>
          <w:p>
            <w:pPr>
              <w:pStyle w:val="Compact"/>
              <w:jc w:val="right"/>
            </w:pPr>
            <w:r>
              <w:t xml:space="preserve">1.42 (0.61) .02</w:t>
            </w:r>
          </w:p>
        </w:tc>
        <w:tc>
          <w:p>
            <w:pPr>
              <w:pStyle w:val="Compact"/>
              <w:jc w:val="right"/>
            </w:pPr>
            <w:r>
              <w:t xml:space="preserve">1.42 (0.62)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1.73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-1.32 (5.08) .80</w:t>
            </w:r>
          </w:p>
        </w:tc>
        <w:tc>
          <w:p>
            <w:pPr>
              <w:pStyle w:val="Compact"/>
              <w:jc w:val="right"/>
            </w:pPr>
            <w:r>
              <w:t xml:space="preserve">-1.48 (5.43) .79</w:t>
            </w:r>
          </w:p>
        </w:tc>
        <w:tc>
          <w:p>
            <w:pPr>
              <w:pStyle w:val="Compact"/>
              <w:jc w:val="right"/>
            </w:pPr>
            <w:r>
              <w:t xml:space="preserve">-1.39 (5.52)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1.34 (2.23) .55</w:t>
            </w:r>
          </w:p>
        </w:tc>
        <w:tc>
          <w:p>
            <w:pPr>
              <w:pStyle w:val="Compact"/>
              <w:jc w:val="right"/>
            </w:pPr>
            <w:r>
              <w:t xml:space="preserve">1.56 (2.30) .50</w:t>
            </w:r>
          </w:p>
        </w:tc>
        <w:tc>
          <w:p>
            <w:pPr>
              <w:pStyle w:val="Compact"/>
              <w:jc w:val="right"/>
            </w:pPr>
            <w:r>
              <w:t xml:space="preserve">1.68 (2.37)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-2,939</w:t>
            </w:r>
          </w:p>
        </w:tc>
        <w:tc>
          <w:p>
            <w:pPr>
              <w:pStyle w:val="Compact"/>
              <w:jc w:val="right"/>
            </w:pPr>
            <w:r>
              <w:t xml:space="preserve">-2,908</w:t>
            </w:r>
          </w:p>
        </w:tc>
        <w:tc>
          <w:p>
            <w:pPr>
              <w:pStyle w:val="Compact"/>
              <w:jc w:val="right"/>
            </w:pPr>
            <w:r>
              <w:t xml:space="preserve">-2,888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5,920</w:t>
            </w:r>
          </w:p>
        </w:tc>
        <w:tc>
          <w:p>
            <w:pPr>
              <w:pStyle w:val="Compact"/>
              <w:jc w:val="right"/>
            </w:pPr>
            <w:r>
              <w:t xml:space="preserve">5,873</w:t>
            </w:r>
          </w:p>
        </w:tc>
        <w:tc>
          <w:p>
            <w:pPr>
              <w:pStyle w:val="Compact"/>
              <w:jc w:val="right"/>
            </w:pPr>
            <w:r>
              <w:t xml:space="preserve">5,850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5,992</w:t>
            </w:r>
          </w:p>
        </w:tc>
        <w:tc>
          <w:p>
            <w:pPr>
              <w:pStyle w:val="Compact"/>
              <w:jc w:val="right"/>
            </w:pPr>
            <w:r>
              <w:t xml:space="preserve">5,973</w:t>
            </w:r>
          </w:p>
        </w:tc>
        <w:tc>
          <w:p>
            <w:pPr>
              <w:pStyle w:val="Compact"/>
              <w:jc w:val="right"/>
            </w:pPr>
            <w:r>
              <w:t xml:space="preserve">5,977</w:t>
            </w:r>
          </w:p>
        </w:tc>
      </w:tr>
    </w:tbl>
    <w:p>
      <w:pPr>
        <w:pStyle w:val="Heading2"/>
      </w:pPr>
      <w:bookmarkStart w:id="24" w:name="summary"/>
      <w:bookmarkEnd w:id="2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94.39 (12.56)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94.39(NA)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-2.60 (1.52) .09</w:t>
            </w:r>
          </w:p>
        </w:tc>
        <w:tc>
          <w:p>
            <w:pPr>
              <w:pStyle w:val="Compact"/>
              <w:jc w:val="right"/>
            </w:pPr>
            <w:r>
              <w:t xml:space="preserve">-2.60(NA)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0.89 (1.63) .59</w:t>
            </w:r>
          </w:p>
        </w:tc>
        <w:tc>
          <w:p>
            <w:pPr>
              <w:pStyle w:val="Compact"/>
              <w:jc w:val="right"/>
            </w:pPr>
            <w:r>
              <w:t xml:space="preserve">0.89(NA)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 (3.50) .83</w:t>
            </w:r>
          </w:p>
        </w:tc>
        <w:tc>
          <w:p>
            <w:pPr>
              <w:pStyle w:val="Compact"/>
              <w:jc w:val="right"/>
            </w:pPr>
            <w:r>
              <w:t xml:space="preserve">0.74(NA)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-3.24 (3.71) .38</w:t>
            </w:r>
          </w:p>
        </w:tc>
        <w:tc>
          <w:p>
            <w:pPr>
              <w:pStyle w:val="Compact"/>
              <w:jc w:val="right"/>
            </w:pPr>
            <w:r>
              <w:t xml:space="preserve">-3.24(NA)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-2.65 (3.88) .49</w:t>
            </w:r>
          </w:p>
        </w:tc>
        <w:tc>
          <w:p>
            <w:pPr>
              <w:pStyle w:val="Compact"/>
              <w:jc w:val="right"/>
            </w:pPr>
            <w:r>
              <w:t xml:space="preserve">-2.65(NA)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.84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(0.48) .80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0.58 (0.47) .21</w:t>
            </w:r>
          </w:p>
        </w:tc>
        <w:tc>
          <w:p>
            <w:pPr>
              <w:pStyle w:val="Compact"/>
              <w:jc w:val="right"/>
            </w:pPr>
            <w:r>
              <w:t xml:space="preserve">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0.58 (0.48) .23</w:t>
            </w:r>
          </w:p>
        </w:tc>
        <w:tc>
          <w:p>
            <w:pPr>
              <w:pStyle w:val="Compact"/>
              <w:jc w:val="right"/>
            </w:pPr>
            <w:r>
              <w:t xml:space="preserve">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4.63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(0.16)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-0.19 (0.25)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0.13 (0.31)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(0.26)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361.89 (51.82)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1.50 (1.01) .14</w:t>
            </w:r>
          </w:p>
        </w:tc>
        <w:tc>
          <w:p>
            <w:pPr>
              <w:pStyle w:val="Compact"/>
              <w:jc w:val="right"/>
            </w:pPr>
            <w:r>
              <w:t xml:space="preserve">1.50(NA)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174.83 (16.90)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174.83(NA)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-22.60 (6.44)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-22.60(NA)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2.92 (3.48)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-4.96 (1.95)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-3,179(NA)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6,433</w:t>
            </w:r>
          </w:p>
        </w:tc>
        <w:tc>
          <w:p>
            <w:pPr>
              <w:pStyle w:val="Compact"/>
              <w:jc w:val="right"/>
            </w:pPr>
            <w:r>
              <w:t xml:space="preserve">6,433(NA)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6,563</w:t>
            </w:r>
          </w:p>
        </w:tc>
        <w:tc>
          <w:p>
            <w:pPr>
              <w:pStyle w:val="Compact"/>
              <w:jc w:val="right"/>
            </w:pPr>
            <w:r>
              <w:t xml:space="preserve">6,563(NA)</w:t>
            </w:r>
          </w:p>
        </w:tc>
      </w:tr>
    </w:tbl>
    <w:p>
      <w:pPr>
        <w:pStyle w:val="Heading2"/>
      </w:pPr>
      <w:bookmarkStart w:id="26" w:name="tug-1"/>
      <w:bookmarkEnd w:id="26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87.74 (11.48)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87.80 (11.69)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94.39 (12.56)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-1.90 (1.40) .18</w:t>
            </w:r>
          </w:p>
        </w:tc>
        <w:tc>
          <w:p>
            <w:pPr>
              <w:pStyle w:val="Compact"/>
              <w:jc w:val="right"/>
            </w:pPr>
            <w:r>
              <w:t xml:space="preserve">-1.89 (1.46) .19</w:t>
            </w:r>
          </w:p>
        </w:tc>
        <w:tc>
          <w:p>
            <w:pPr>
              <w:pStyle w:val="Compact"/>
              <w:jc w:val="right"/>
            </w:pPr>
            <w:r>
              <w:t xml:space="preserve">-2.60 (1.52)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(1.57) .93</w:t>
            </w:r>
          </w:p>
        </w:tc>
        <w:tc>
          <w:p>
            <w:pPr>
              <w:pStyle w:val="Compact"/>
              <w:jc w:val="right"/>
            </w:pPr>
            <w:r>
              <w:t xml:space="preserve">0.34 (1.57) .83</w:t>
            </w:r>
          </w:p>
        </w:tc>
        <w:tc>
          <w:p>
            <w:pPr>
              <w:pStyle w:val="Compact"/>
              <w:jc w:val="right"/>
            </w:pPr>
            <w:r>
              <w:t xml:space="preserve">0.89 (1.63)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(3.46) .97</w:t>
            </w:r>
          </w:p>
        </w:tc>
        <w:tc>
          <w:p>
            <w:pPr>
              <w:pStyle w:val="Compact"/>
              <w:jc w:val="right"/>
            </w:pPr>
            <w:r>
              <w:t xml:space="preserve">0.74 (3.50)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-3.24 (3.71)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-2.65 (3.88)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(0.47) .64</w:t>
            </w:r>
          </w:p>
        </w:tc>
        <w:tc>
          <w:p>
            <w:pPr>
              <w:pStyle w:val="Compact"/>
              <w:jc w:val="right"/>
            </w:pPr>
            <w:r>
              <w:t xml:space="preserve">0.12 (0.48)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4.91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5.00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(0.17) .18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(0.16)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(0.24) .41</w:t>
            </w:r>
          </w:p>
        </w:tc>
        <w:tc>
          <w:p>
            <w:pPr>
              <w:pStyle w:val="Compact"/>
              <w:jc w:val="right"/>
            </w:pPr>
            <w:r>
              <w:t xml:space="preserve">-0.19 (0.25)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390.49 (55.24)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371.53 (52.31)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361.89 (51.82)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1.69 (0.94) .07</w:t>
            </w:r>
          </w:p>
        </w:tc>
        <w:tc>
          <w:p>
            <w:pPr>
              <w:pStyle w:val="Compact"/>
              <w:jc w:val="right"/>
            </w:pPr>
            <w:r>
              <w:t xml:space="preserve">1.66 (0.98) .09</w:t>
            </w:r>
          </w:p>
        </w:tc>
        <w:tc>
          <w:p>
            <w:pPr>
              <w:pStyle w:val="Compact"/>
              <w:jc w:val="right"/>
            </w:pPr>
            <w:r>
              <w:t xml:space="preserve">1.50 (1.01)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175.40 (16.17)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175.57 (16.72)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174.83 (16.90)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-24.71 (6.31)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-23.81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-22.60 (6.44)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0.35 (0.42) .41</w:t>
            </w:r>
          </w:p>
        </w:tc>
        <w:tc>
          <w:p>
            <w:pPr>
              <w:pStyle w:val="Compact"/>
              <w:jc w:val="right"/>
            </w:pPr>
            <w:r>
              <w:t xml:space="preserve">0.32 (0.42) .43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1.53 (3.36) .65</w:t>
            </w:r>
          </w:p>
        </w:tc>
        <w:tc>
          <w:p>
            <w:pPr>
              <w:pStyle w:val="Compact"/>
              <w:jc w:val="right"/>
            </w:pPr>
            <w:r>
              <w:t xml:space="preserve">2.54 (3.48) .46</w:t>
            </w:r>
          </w:p>
        </w:tc>
        <w:tc>
          <w:p>
            <w:pPr>
              <w:pStyle w:val="Compact"/>
              <w:jc w:val="right"/>
            </w:pPr>
            <w:r>
              <w:t xml:space="preserve">2.92 (3.48)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-5.36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-5.23 (1.90) .01</w:t>
            </w:r>
          </w:p>
        </w:tc>
        <w:tc>
          <w:p>
            <w:pPr>
              <w:pStyle w:val="Compact"/>
              <w:jc w:val="right"/>
            </w:pPr>
            <w:r>
              <w:t xml:space="preserve">-4.96 (1.95)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-3,207</w:t>
            </w:r>
          </w:p>
        </w:tc>
        <w:tc>
          <w:p>
            <w:pPr>
              <w:pStyle w:val="Compact"/>
              <w:jc w:val="right"/>
            </w:pPr>
            <w:r>
              <w:t xml:space="preserve">-3,199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6,455</w:t>
            </w:r>
          </w:p>
        </w:tc>
        <w:tc>
          <w:p>
            <w:pPr>
              <w:pStyle w:val="Compact"/>
              <w:jc w:val="right"/>
            </w:pPr>
            <w:r>
              <w:t xml:space="preserve">6,457</w:t>
            </w:r>
          </w:p>
        </w:tc>
        <w:tc>
          <w:p>
            <w:pPr>
              <w:pStyle w:val="Compact"/>
              <w:jc w:val="right"/>
            </w:pPr>
            <w:r>
              <w:t xml:space="preserve">6,433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6,530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6,563</w:t>
            </w:r>
          </w:p>
        </w:tc>
      </w:tr>
    </w:tbl>
    <w:p>
      <w:pPr>
        <w:pStyle w:val="Heading2"/>
      </w:pPr>
      <w:bookmarkStart w:id="27" w:name="summary-1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evaluate_0.10    tibble_1.2       gtable_0.2.0     lattice_0.20-34 </w:t>
      </w:r>
      <w:r>
        <w:br w:type="textWrapping"/>
      </w:r>
      <w:r>
        <w:rPr>
          <w:rStyle w:val="VerbatimChar"/>
        </w:rPr>
        <w:t xml:space="preserve">[13] texreg_1.36.7    DBI_0.5-1        yaml_2.1.13      proto_0.3-10     Rttf2pt1_1.3.4   coda_0.18-1     </w:t>
      </w:r>
      <w:r>
        <w:br w:type="textWrapping"/>
      </w:r>
      <w:r>
        <w:rPr>
          <w:rStyle w:val="VerbatimChar"/>
        </w:rPr>
        <w:t xml:space="preserve">[19] dplyr_0.5.0      stringr_1.1.0    htmlwidgets_0.7  DT_0.2           R6_2.2.0         rmarkdown_1.1   </w:t>
      </w:r>
      <w:r>
        <w:br w:type="textWrapping"/>
      </w:r>
      <w:r>
        <w:rPr>
          <w:rStyle w:val="VerbatimChar"/>
        </w:rPr>
        <w:t xml:space="preserve">[25] gsubfn_0.6-6     extrafontdb_1.0  pander_0.6.0     tidyr_0.6.0      readr_1.0.0      scales_0.4.0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79ac0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ILSE : Seed Report</dc:title>
  <dc:creator/>
</cp:coreProperties>
</file>