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fev-available-models"/>
      <w:bookmarkEnd w:id="21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0.18(0.08)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39.00(2.83)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  <w:tc>
          <w:p>
            <w:pPr>
              <w:pStyle w:val="Compact"/>
              <w:jc w:val="right"/>
            </w:pPr>
            <w:r>
              <w:t xml:space="preserve">-4,019(7.046849e+03)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  <w:tc>
          <w:p>
            <w:pPr>
              <w:pStyle w:val="Compact"/>
              <w:jc w:val="right"/>
            </w:pPr>
            <w:r>
              <w:t xml:space="preserve">8,117(1.408804e+04)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  <w:tc>
          <w:p>
            <w:pPr>
              <w:pStyle w:val="Compact"/>
              <w:jc w:val="right"/>
            </w:pPr>
            <w:r>
              <w:t xml:space="preserve">8,306(1.407436e+04)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</w:tr>
    </w:tbl>
    <w:p>
      <w:pPr>
        <w:pStyle w:val="Heading2"/>
      </w:pPr>
      <w:bookmarkStart w:id="24" w:name="grip"/>
      <w:bookmarkEnd w:id="24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19.67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32.55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  <w:tc>
          <w:p>
            <w:pPr>
              <w:pStyle w:val="Compact"/>
              <w:jc w:val="right"/>
            </w:pPr>
            <w:r>
              <w:t xml:space="preserve">-1,790(2,488)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3,663(4,976)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3,816(4,976)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</w:tbl>
    <w:p>
      <w:pPr>
        <w:pStyle w:val="Heading2"/>
      </w:pPr>
      <w:bookmarkStart w:id="27" w:name="grip-1"/>
      <w:bookmarkEnd w:id="27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32.55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</w:tr>
    </w:tbl>
    <w:p>
      <w:pPr>
        <w:pStyle w:val="Heading1"/>
      </w:pPr>
      <w:bookmarkStart w:id="28" w:name="gait-available-models"/>
      <w:bookmarkEnd w:id="28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0.3011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-0.3664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  <w:tc>
          <w:p>
            <w:pPr>
              <w:pStyle w:val="Compact"/>
              <w:jc w:val="right"/>
            </w:pPr>
            <w:r>
              <w:t xml:space="preserve">-7,767(NA)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  <w:tc>
          <w:p>
            <w:pPr>
              <w:pStyle w:val="Compact"/>
              <w:jc w:val="right"/>
            </w:pPr>
            <w:r>
              <w:t xml:space="preserve">15,616(NA)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  <w:tc>
          <w:p>
            <w:pPr>
              <w:pStyle w:val="Compact"/>
              <w:jc w:val="right"/>
            </w:pPr>
            <w:r>
              <w:t xml:space="preserve">15,814(NA)</w:t>
            </w:r>
          </w:p>
        </w:tc>
      </w:tr>
    </w:tbl>
    <w:p>
      <w:pPr>
        <w:pStyle w:val="Heading2"/>
      </w:pPr>
      <w:bookmarkStart w:id="30" w:name="grip-2"/>
      <w:bookmarkEnd w:id="30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(0.34)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32.50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0.3043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  <w:tc>
          <w:p>
            <w:pPr>
              <w:pStyle w:val="Compact"/>
              <w:jc w:val="right"/>
            </w:pPr>
            <w:r>
              <w:t xml:space="preserve">-2,966(NA)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  <w:tc>
          <w:p>
            <w:pPr>
              <w:pStyle w:val="Compact"/>
              <w:jc w:val="right"/>
            </w:pPr>
            <w:r>
              <w:t xml:space="preserve">6,015(NA)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  <w:tc>
          <w:p>
            <w:pPr>
              <w:pStyle w:val="Compact"/>
              <w:jc w:val="right"/>
            </w:pPr>
            <w:r>
              <w:t xml:space="preserve">6,168(NA)</w:t>
            </w:r>
          </w:p>
        </w:tc>
      </w:tr>
    </w:tbl>
    <w:p>
      <w:pPr>
        <w:pStyle w:val="Heading2"/>
      </w:pPr>
      <w:bookmarkStart w:id="32" w:name="grip-3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32.50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163b6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