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  <w:tc>
          <w:p>
            <w:pPr>
              <w:pStyle w:val="Compact"/>
              <w:jc w:val="right"/>
            </w:pPr>
            <w:r>
              <w:t xml:space="preserve">-1.12(NA)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  <w:tc>
          <w:p>
            <w:pPr>
              <w:pStyle w:val="Compact"/>
              <w:jc w:val="right"/>
            </w:pPr>
            <w:r>
              <w:t xml:space="preserve">-5,084(NA)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  <w:tc>
          <w:p>
            <w:pPr>
              <w:pStyle w:val="Compact"/>
              <w:jc w:val="right"/>
            </w:pPr>
            <w:r>
              <w:t xml:space="preserve">10,251(NA)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  <w:tc>
          <w:p>
            <w:pPr>
              <w:pStyle w:val="Compact"/>
              <w:jc w:val="right"/>
            </w:pPr>
            <w:r>
              <w:t xml:space="preserve">10,415(NA)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(0.45)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  <w:tc>
          <w:p>
            <w:pPr>
              <w:pStyle w:val="Compact"/>
              <w:jc w:val="right"/>
            </w:pPr>
            <w:r>
              <w:t xml:space="preserve">1.64(NA)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  <w:tc>
          <w:p>
            <w:pPr>
              <w:pStyle w:val="Compact"/>
              <w:jc w:val="right"/>
            </w:pPr>
            <w:r>
              <w:t xml:space="preserve">-0.41(NA)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  <w:tc>
          <w:p>
            <w:pPr>
              <w:pStyle w:val="Compact"/>
              <w:jc w:val="right"/>
            </w:pPr>
            <w:r>
              <w:t xml:space="preserve">-2.52(NA)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  <w:tc>
          <w:p>
            <w:pPr>
              <w:pStyle w:val="Compact"/>
              <w:jc w:val="right"/>
            </w:pPr>
            <w:r>
              <w:t xml:space="preserve">-4,247(NA)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  <w:tc>
          <w:p>
            <w:pPr>
              <w:pStyle w:val="Compact"/>
              <w:jc w:val="right"/>
            </w:pPr>
            <w:r>
              <w:t xml:space="preserve">8,577(NA)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  <w:tc>
          <w:p>
            <w:pPr>
              <w:pStyle w:val="Compact"/>
              <w:jc w:val="right"/>
            </w:pPr>
            <w:r>
              <w:t xml:space="preserve">8,728(NA)</w:t>
            </w:r>
          </w:p>
        </w:tc>
      </w:tr>
    </w:tbl>
    <w:p>
      <w:pPr>
        <w:pStyle w:val="Heading2"/>
      </w:pPr>
      <w:bookmarkStart w:id="25" w:name="fev-1"/>
      <w:bookmarkEnd w:id="25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</w:tr>
    </w:tbl>
    <w:p>
      <w:pPr>
        <w:pStyle w:val="Heading1"/>
      </w:pPr>
      <w:bookmarkStart w:id="26" w:name="gait-available-models"/>
      <w:bookmarkEnd w:id="26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female-1"/>
      <w:bookmarkEnd w:id="27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(0.23) .10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  <w:tc>
          <w:p>
            <w:pPr>
              <w:pStyle w:val="Compact"/>
              <w:jc w:val="right"/>
            </w:pPr>
            <w:r>
              <w:t xml:space="preserve">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  <w:tc>
          <w:p>
            <w:pPr>
              <w:pStyle w:val="Compact"/>
              <w:jc w:val="right"/>
            </w:pPr>
            <w:r>
              <w:t xml:space="preserve">-0.27(0.15)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  <w:tc>
          <w:p>
            <w:pPr>
              <w:pStyle w:val="Compact"/>
              <w:jc w:val="right"/>
            </w:pPr>
            <w:r>
              <w:t xml:space="preserve">-5,224(2,391)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  <w:tc>
          <w:p>
            <w:pPr>
              <w:pStyle w:val="Compact"/>
              <w:jc w:val="right"/>
            </w:pPr>
            <w:r>
              <w:t xml:space="preserve">10,529(4,781)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  <w:tc>
          <w:p>
            <w:pPr>
              <w:pStyle w:val="Compact"/>
              <w:jc w:val="right"/>
            </w:pPr>
            <w:r>
              <w:t xml:space="preserve">10,689(4,781)</w:t>
            </w:r>
          </w:p>
        </w:tc>
      </w:tr>
    </w:tbl>
    <w:p>
      <w:pPr>
        <w:pStyle w:val="Heading2"/>
      </w:pPr>
      <w:bookmarkStart w:id="28" w:name="fev-2"/>
      <w:bookmarkEnd w:id="28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</w:tr>
    </w:tbl>
    <w:p>
      <w:pPr>
        <w:pStyle w:val="Heading2"/>
      </w:pPr>
      <w:bookmarkStart w:id="29" w:name="grip"/>
      <w:bookmarkEnd w:id="29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</w:tr>
    </w:tbl>
    <w:p>
      <w:pPr>
        <w:pStyle w:val="Heading1"/>
      </w:pPr>
      <w:bookmarkStart w:id="30" w:name="male-1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(0.34) .76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(0.62)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(0.46)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-0.33(0.03)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  <w:tc>
          <w:p>
            <w:pPr>
              <w:pStyle w:val="Compact"/>
              <w:jc w:val="right"/>
            </w:pPr>
            <w:r>
              <w:t xml:space="preserve">-0.51(0.03)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0.64(0.07)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  <w:tc>
          <w:p>
            <w:pPr>
              <w:pStyle w:val="Compact"/>
              <w:jc w:val="right"/>
            </w:pPr>
            <w:r>
              <w:t xml:space="preserve">-0.17(0.04)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  <w:tc>
          <w:p>
            <w:pPr>
              <w:pStyle w:val="Compact"/>
              <w:jc w:val="right"/>
            </w:pPr>
            <w:r>
              <w:t xml:space="preserve">1.40(0.03)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-0.31(0.29)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-3,775(1,685)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  <w:tc>
          <w:p>
            <w:pPr>
              <w:pStyle w:val="Compact"/>
              <w:jc w:val="right"/>
            </w:pPr>
            <w:r>
              <w:t xml:space="preserve">7,631(3,371)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  <w:tc>
          <w:p>
            <w:pPr>
              <w:pStyle w:val="Compact"/>
              <w:jc w:val="right"/>
            </w:pPr>
            <w:r>
              <w:t xml:space="preserve">7,778(3,371)</w:t>
            </w:r>
          </w:p>
        </w:tc>
      </w:tr>
    </w:tbl>
    <w:p>
      <w:pPr>
        <w:pStyle w:val="Heading2"/>
      </w:pPr>
      <w:bookmarkStart w:id="31" w:name="fev-3"/>
      <w:bookmarkEnd w:id="31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(0.62)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</w:tr>
    </w:tbl>
    <w:p>
      <w:pPr>
        <w:pStyle w:val="Heading2"/>
      </w:pPr>
      <w:bookmarkStart w:id="32" w:name="grip-1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(0.46)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b9504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