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8F" w:rsidRDefault="00F813BF" w:rsidP="00F813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D1A">
        <w:rPr>
          <w:rFonts w:ascii="Times New Roman" w:hAnsi="Times New Roman" w:cs="Times New Roman"/>
          <w:b/>
          <w:sz w:val="24"/>
          <w:szCs w:val="24"/>
        </w:rPr>
        <w:t>Method</w:t>
      </w:r>
    </w:p>
    <w:p w:rsidR="00730D1A" w:rsidRDefault="00730D1A" w:rsidP="00730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F13BD0" w:rsidRDefault="00730D1A" w:rsidP="004A1B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</w:t>
      </w:r>
      <w:r w:rsidR="005A563F">
        <w:rPr>
          <w:rFonts w:ascii="Times New Roman" w:hAnsi="Times New Roman" w:cs="Times New Roman"/>
          <w:sz w:val="24"/>
          <w:szCs w:val="24"/>
        </w:rPr>
        <w:t>ory and Aging Project (MAP)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63F">
        <w:rPr>
          <w:rFonts w:ascii="Times New Roman" w:hAnsi="Times New Roman" w:cs="Times New Roman"/>
          <w:sz w:val="24"/>
          <w:szCs w:val="24"/>
        </w:rPr>
        <w:t>a longitudinal</w:t>
      </w:r>
      <w:r w:rsidR="0018187E">
        <w:rPr>
          <w:rFonts w:ascii="Times New Roman" w:hAnsi="Times New Roman" w:cs="Times New Roman"/>
          <w:sz w:val="24"/>
          <w:szCs w:val="24"/>
        </w:rPr>
        <w:t xml:space="preserve"> study that began in 1997</w:t>
      </w:r>
      <w:r w:rsidR="000F5B39">
        <w:rPr>
          <w:rFonts w:ascii="Times New Roman" w:hAnsi="Times New Roman" w:cs="Times New Roman"/>
          <w:sz w:val="24"/>
          <w:szCs w:val="24"/>
        </w:rPr>
        <w:t xml:space="preserve"> with an ongoing enrollment</w:t>
      </w:r>
      <w:r w:rsidR="00DE20CA">
        <w:rPr>
          <w:rFonts w:ascii="Times New Roman" w:hAnsi="Times New Roman" w:cs="Times New Roman"/>
          <w:sz w:val="24"/>
          <w:szCs w:val="24"/>
        </w:rPr>
        <w:t xml:space="preserve"> </w:t>
      </w:r>
      <w:r w:rsidR="00C37205">
        <w:rPr>
          <w:rFonts w:ascii="Times New Roman" w:hAnsi="Times New Roman" w:cs="Times New Roman"/>
          <w:sz w:val="24"/>
          <w:szCs w:val="24"/>
        </w:rPr>
        <w:fldChar w:fldCharType="begin"/>
      </w:r>
      <w:r w:rsidR="00C3720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&lt;EndNote&gt;&lt;Cite&gt;&lt;Author&gt;Bennett&lt;/Author&gt;&lt;Year&gt;2005&lt;/Year&gt;&lt;RecNum&gt;342&lt;/RecNum&gt;&lt;DisplayText&gt;(Bennett et al., 2005)&lt;/DisplayText&gt;&lt;record&gt;&lt;rec-number&gt;342&lt;/rec-number&gt;&lt;foreign-keys&gt;&lt;key app="EN" db-id="vrwxspddvsdtspeax5evd9rkv0vs9e9vzw2v" timestamp="1440803630"&gt;342&lt;/key&gt;&lt;/foreign-keys&gt;&lt;ref-type name="Journal Article"&gt;17&lt;/ref-type&gt;&lt;contributors&gt;&lt;authors&gt;&lt;author&gt;Bennett, David A&lt;/author&gt;&lt;author&gt;Schneider, Julie A&lt;/author&gt;&lt;author&gt;Buchman, Aron S&lt;/author&gt;&lt;author&gt;Mendes de Leon, Carlos&lt;/author&gt;&lt;author&gt;Bienias, Julia L&lt;/author&gt;&lt;author&gt;Wilson, Robert S&lt;/author&gt;&lt;/authors&gt;&lt;/contributors&gt;&lt;titles&gt;&lt;title&gt;The Rush Memory and Aging Project: study design and baseline characteristics of the study cohort&lt;/title&gt;&lt;secondary-title&gt;Neuroepidemiology&lt;/secondary-title&gt;&lt;/titles&gt;&lt;periodical&gt;&lt;full-title&gt;Neuroepidemiology&lt;/full-title&gt;&lt;/periodical&gt;&lt;pages&gt;163-175&lt;/pages&gt;&lt;volume&gt;25&lt;/volume&gt;&lt;number&gt;4&lt;/number&gt;&lt;dates&gt;&lt;year&gt;2005&lt;/year&gt;&lt;/dates&gt;&lt;isbn&gt;1423-0208&lt;/isbn&gt;&lt;urls&gt;&lt;/urls&gt;&lt;/record&gt;&lt;/Cite&gt;&lt;/EndNote&gt;</w:instrText>
      </w:r>
      <w:r w:rsidR="00C37205">
        <w:rPr>
          <w:rFonts w:ascii="Times New Roman" w:hAnsi="Times New Roman" w:cs="Times New Roman"/>
          <w:sz w:val="24"/>
          <w:szCs w:val="24"/>
        </w:rPr>
        <w:fldChar w:fldCharType="separate"/>
      </w:r>
      <w:r w:rsidR="00C37205">
        <w:rPr>
          <w:rFonts w:ascii="Times New Roman" w:hAnsi="Times New Roman" w:cs="Times New Roman"/>
          <w:noProof/>
          <w:sz w:val="24"/>
          <w:szCs w:val="24"/>
        </w:rPr>
        <w:t>(Bennett et al., 2005)</w:t>
      </w:r>
      <w:r w:rsidR="00C37205">
        <w:rPr>
          <w:rFonts w:ascii="Times New Roman" w:hAnsi="Times New Roman" w:cs="Times New Roman"/>
          <w:sz w:val="24"/>
          <w:szCs w:val="24"/>
        </w:rPr>
        <w:fldChar w:fldCharType="end"/>
      </w:r>
      <w:r w:rsidR="0018187E">
        <w:rPr>
          <w:rFonts w:ascii="Times New Roman" w:hAnsi="Times New Roman" w:cs="Times New Roman"/>
          <w:sz w:val="24"/>
          <w:szCs w:val="24"/>
        </w:rPr>
        <w:t xml:space="preserve">. The study was approved by the Institutional Review Board of Rush University Medical Center and funded by the National Institute on Aging. </w:t>
      </w:r>
      <w:r>
        <w:rPr>
          <w:rFonts w:ascii="Times New Roman" w:hAnsi="Times New Roman" w:cs="Times New Roman"/>
          <w:sz w:val="24"/>
          <w:szCs w:val="24"/>
        </w:rPr>
        <w:t xml:space="preserve">The broad aim of the study was to </w:t>
      </w:r>
      <w:r w:rsidR="00A76CFE">
        <w:rPr>
          <w:rFonts w:ascii="Times New Roman" w:hAnsi="Times New Roman" w:cs="Times New Roman"/>
          <w:sz w:val="24"/>
          <w:szCs w:val="24"/>
        </w:rPr>
        <w:t xml:space="preserve">“identify factors associated with the maintenance of cognitive health despite the accumulation of AD and other pathology” </w:t>
      </w:r>
      <w:r w:rsidR="00C37205">
        <w:rPr>
          <w:rFonts w:ascii="Times New Roman" w:hAnsi="Times New Roman" w:cs="Times New Roman"/>
          <w:sz w:val="24"/>
          <w:szCs w:val="24"/>
        </w:rPr>
        <w:fldChar w:fldCharType="begin"/>
      </w:r>
      <w:r w:rsidR="00C3720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&lt;EndNote&gt;&lt;Cite&gt;&lt;Author&gt;Bennett&lt;/Author&gt;&lt;Year&gt;2012&lt;/Year&gt;&lt;RecNum&gt;343&lt;/RecNum&gt;&lt;DisplayText&gt;(Bennett et al., 2012)&lt;/DisplayText&gt;&lt;record&gt;&lt;rec-number&gt;343&lt;/rec-number&gt;&lt;foreign-keys&gt;&lt;key app="EN" db-id="vrwxspddvsdtspeax5evd9rkv0vs9e9vzw2v" timestamp="1440803663"&gt;343&lt;/key&gt;&lt;/foreign-keys&gt;&lt;ref-type name="Journal Article"&gt;17&lt;/ref-type&gt;&lt;contributors&gt;&lt;authors&gt;&lt;author&gt;Bennett, David A&lt;/author&gt;&lt;author&gt;Schneider, Julie A&lt;/author&gt;&lt;author&gt;Buchman, Aron S&lt;/author&gt;&lt;author&gt;Barnes, Lisa L&lt;/author&gt;&lt;author&gt;Boyle, Patricia A&lt;/author&gt;&lt;author&gt;Wilson, Robert S&lt;/author&gt;&lt;/authors&gt;&lt;/contributors&gt;&lt;titles&gt;&lt;title&gt;Overview and findings from the Rush Memory and Aging Project&lt;/title&gt;&lt;secondary-title&gt;Current Alzheimer Research&lt;/secondary-title&gt;&lt;/titles&gt;&lt;periodical&gt;&lt;full-title&gt;Current Alzheimer Research&lt;/full-title&gt;&lt;/periodical&gt;&lt;pages&gt;646&lt;/pages&gt;&lt;volume&gt;9&lt;/volume&gt;&lt;number&gt;6&lt;/number&gt;&lt;dates&gt;&lt;year&gt;2012&lt;/year&gt;&lt;/dates&gt;&lt;urls&gt;&lt;/urls&gt;&lt;/record&gt;&lt;/Cite&gt;&lt;/EndNote&gt;</w:instrText>
      </w:r>
      <w:r w:rsidR="00C37205">
        <w:rPr>
          <w:rFonts w:ascii="Times New Roman" w:hAnsi="Times New Roman" w:cs="Times New Roman"/>
          <w:sz w:val="24"/>
          <w:szCs w:val="24"/>
        </w:rPr>
        <w:fldChar w:fldCharType="separate"/>
      </w:r>
      <w:r w:rsidR="00C37205">
        <w:rPr>
          <w:rFonts w:ascii="Times New Roman" w:hAnsi="Times New Roman" w:cs="Times New Roman"/>
          <w:noProof/>
          <w:sz w:val="24"/>
          <w:szCs w:val="24"/>
        </w:rPr>
        <w:t>(Bennett et al., 2012)</w:t>
      </w:r>
      <w:r w:rsidR="00C37205">
        <w:rPr>
          <w:rFonts w:ascii="Times New Roman" w:hAnsi="Times New Roman" w:cs="Times New Roman"/>
          <w:sz w:val="24"/>
          <w:szCs w:val="24"/>
        </w:rPr>
        <w:fldChar w:fldCharType="end"/>
      </w:r>
      <w:r w:rsidR="00A76CFE">
        <w:rPr>
          <w:rFonts w:ascii="Times New Roman" w:hAnsi="Times New Roman" w:cs="Times New Roman"/>
          <w:sz w:val="24"/>
          <w:szCs w:val="24"/>
        </w:rPr>
        <w:t>.</w:t>
      </w:r>
      <w:r w:rsidR="00C9361C">
        <w:rPr>
          <w:rFonts w:ascii="Times New Roman" w:hAnsi="Times New Roman" w:cs="Times New Roman"/>
          <w:sz w:val="24"/>
          <w:szCs w:val="24"/>
        </w:rPr>
        <w:t xml:space="preserve"> Participant recruitment was focused on retirement communities</w:t>
      </w:r>
      <w:r w:rsidR="007024D7">
        <w:rPr>
          <w:rFonts w:ascii="Times New Roman" w:hAnsi="Times New Roman" w:cs="Times New Roman"/>
          <w:sz w:val="24"/>
          <w:szCs w:val="24"/>
        </w:rPr>
        <w:t xml:space="preserve"> in </w:t>
      </w:r>
      <w:r w:rsidR="00ED1507">
        <w:rPr>
          <w:rFonts w:ascii="Times New Roman" w:hAnsi="Times New Roman" w:cs="Times New Roman"/>
          <w:sz w:val="24"/>
          <w:szCs w:val="24"/>
        </w:rPr>
        <w:t>northeastern Illinois</w:t>
      </w:r>
      <w:r w:rsidR="007024D7">
        <w:rPr>
          <w:rFonts w:ascii="Times New Roman" w:hAnsi="Times New Roman" w:cs="Times New Roman"/>
          <w:sz w:val="24"/>
          <w:szCs w:val="24"/>
        </w:rPr>
        <w:t>. Continuous care retirement communities</w:t>
      </w:r>
      <w:r w:rsidR="00AB7CB4">
        <w:rPr>
          <w:rFonts w:ascii="Times New Roman" w:hAnsi="Times New Roman" w:cs="Times New Roman"/>
          <w:sz w:val="24"/>
          <w:szCs w:val="24"/>
        </w:rPr>
        <w:t>, ranging from independent living to unskilled and skilled nursing</w:t>
      </w:r>
      <w:r w:rsidR="005A563F">
        <w:rPr>
          <w:rFonts w:ascii="Times New Roman" w:hAnsi="Times New Roman" w:cs="Times New Roman"/>
          <w:sz w:val="24"/>
          <w:szCs w:val="24"/>
        </w:rPr>
        <w:t xml:space="preserve"> care</w:t>
      </w:r>
      <w:r w:rsidR="00AB7CB4">
        <w:rPr>
          <w:rFonts w:ascii="Times New Roman" w:hAnsi="Times New Roman" w:cs="Times New Roman"/>
          <w:sz w:val="24"/>
          <w:szCs w:val="24"/>
        </w:rPr>
        <w:t>,</w:t>
      </w:r>
      <w:r w:rsidR="007024D7">
        <w:rPr>
          <w:rFonts w:ascii="Times New Roman" w:hAnsi="Times New Roman" w:cs="Times New Roman"/>
          <w:sz w:val="24"/>
          <w:szCs w:val="24"/>
        </w:rPr>
        <w:t xml:space="preserve"> wer</w:t>
      </w:r>
      <w:r w:rsidR="00AB7CB4">
        <w:rPr>
          <w:rFonts w:ascii="Times New Roman" w:hAnsi="Times New Roman" w:cs="Times New Roman"/>
          <w:sz w:val="24"/>
          <w:szCs w:val="24"/>
        </w:rPr>
        <w:t>e specifically targeted because these types of facilities enabled better rates of follow up</w:t>
      </w:r>
      <w:r w:rsidR="001760C4">
        <w:rPr>
          <w:rFonts w:ascii="Times New Roman" w:hAnsi="Times New Roman" w:cs="Times New Roman"/>
          <w:sz w:val="24"/>
          <w:szCs w:val="24"/>
        </w:rPr>
        <w:t>. F</w:t>
      </w:r>
      <w:r w:rsidR="00AB7CB4">
        <w:rPr>
          <w:rFonts w:ascii="Times New Roman" w:hAnsi="Times New Roman" w:cs="Times New Roman"/>
          <w:sz w:val="24"/>
          <w:szCs w:val="24"/>
        </w:rPr>
        <w:t xml:space="preserve">rail elderly who might otherwise be </w:t>
      </w:r>
      <w:r w:rsidR="000F5B39">
        <w:rPr>
          <w:rFonts w:ascii="Times New Roman" w:hAnsi="Times New Roman" w:cs="Times New Roman"/>
          <w:sz w:val="24"/>
          <w:szCs w:val="24"/>
        </w:rPr>
        <w:t>un</w:t>
      </w:r>
      <w:r w:rsidR="00AB7CB4">
        <w:rPr>
          <w:rFonts w:ascii="Times New Roman" w:hAnsi="Times New Roman" w:cs="Times New Roman"/>
          <w:sz w:val="24"/>
          <w:szCs w:val="24"/>
        </w:rPr>
        <w:t>able to participate c</w:t>
      </w:r>
      <w:r w:rsidR="001760C4">
        <w:rPr>
          <w:rFonts w:ascii="Times New Roman" w:hAnsi="Times New Roman" w:cs="Times New Roman"/>
          <w:sz w:val="24"/>
          <w:szCs w:val="24"/>
        </w:rPr>
        <w:t xml:space="preserve">ould still be visited for assessment </w:t>
      </w:r>
      <w:r w:rsidR="005A563F">
        <w:rPr>
          <w:rFonts w:ascii="Times New Roman" w:hAnsi="Times New Roman" w:cs="Times New Roman"/>
          <w:sz w:val="24"/>
          <w:szCs w:val="24"/>
        </w:rPr>
        <w:t>and</w:t>
      </w:r>
      <w:r w:rsidR="001760C4">
        <w:rPr>
          <w:rFonts w:ascii="Times New Roman" w:hAnsi="Times New Roman" w:cs="Times New Roman"/>
          <w:sz w:val="24"/>
          <w:szCs w:val="24"/>
        </w:rPr>
        <w:t xml:space="preserve"> facility staff could be contact persons </w:t>
      </w:r>
      <w:r w:rsidR="00527ED7">
        <w:rPr>
          <w:rFonts w:ascii="Times New Roman" w:hAnsi="Times New Roman" w:cs="Times New Roman"/>
          <w:sz w:val="24"/>
          <w:szCs w:val="24"/>
        </w:rPr>
        <w:t xml:space="preserve">for participants </w:t>
      </w:r>
      <w:r w:rsidR="000F5B39">
        <w:rPr>
          <w:rFonts w:ascii="Times New Roman" w:hAnsi="Times New Roman" w:cs="Times New Roman"/>
          <w:sz w:val="24"/>
          <w:szCs w:val="24"/>
        </w:rPr>
        <w:t>and</w:t>
      </w:r>
      <w:r w:rsidR="00527ED7">
        <w:rPr>
          <w:rFonts w:ascii="Times New Roman" w:hAnsi="Times New Roman" w:cs="Times New Roman"/>
          <w:sz w:val="24"/>
          <w:szCs w:val="24"/>
        </w:rPr>
        <w:t xml:space="preserve"> inform study coordinators if participants becam</w:t>
      </w:r>
      <w:r w:rsidR="00FF749F">
        <w:rPr>
          <w:rFonts w:ascii="Times New Roman" w:hAnsi="Times New Roman" w:cs="Times New Roman"/>
          <w:sz w:val="24"/>
          <w:szCs w:val="24"/>
        </w:rPr>
        <w:t xml:space="preserve">e ill or moved </w:t>
      </w:r>
      <w:r w:rsidR="00C37205">
        <w:rPr>
          <w:rFonts w:ascii="Times New Roman" w:hAnsi="Times New Roman" w:cs="Times New Roman"/>
          <w:sz w:val="24"/>
          <w:szCs w:val="24"/>
        </w:rPr>
        <w:fldChar w:fldCharType="begin"/>
      </w:r>
      <w:r w:rsidR="00C3720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&lt;EndNote&gt;&lt;Cite&gt;&lt;Author&gt;Bennett&lt;/Author&gt;&lt;Year&gt;2005&lt;/Year&gt;&lt;RecNum&gt;342&lt;/RecNum&gt;&lt;DisplayText&gt;(Bennett et al., 2005)&lt;/DisplayText&gt;&lt;record&gt;&lt;rec-number&gt;342&lt;/rec-number&gt;&lt;foreign-keys&gt;&lt;key app="EN" db-id="vrwxspddvsdtspeax5evd9rkv0vs9e9vzw2v" timestamp="1440803630"&gt;342&lt;/key&gt;&lt;/foreign-keys&gt;&lt;ref-type name="Journal Article"&gt;17&lt;/ref-type&gt;&lt;contributors&gt;&lt;authors&gt;&lt;author&gt;Bennett, David A&lt;/author&gt;&lt;author&gt;Schneider, Julie A&lt;/author&gt;&lt;author&gt;Buchman, Aron S&lt;/author&gt;&lt;author&gt;Mendes de Leon, Carlos&lt;/author&gt;&lt;author&gt;Bienias, Julia L&lt;/author&gt;&lt;author&gt;Wilson, Robert S&lt;/author&gt;&lt;/authors&gt;&lt;/contributors&gt;&lt;titles&gt;&lt;title&gt;The Rush Memory and Aging Project: study design and baseline characteristics of the study cohort&lt;/title&gt;&lt;secondary-title&gt;Neuroepidemiology&lt;/secondary-title&gt;&lt;/titles&gt;&lt;periodical&gt;&lt;full-title&gt;Neuroepidemiology&lt;/full-title&gt;&lt;/periodical&gt;&lt;pages&gt;163-175&lt;/pages&gt;&lt;volume&gt;25&lt;/volume&gt;&lt;number&gt;4&lt;/number&gt;&lt;dates&gt;&lt;year&gt;2005&lt;/year&gt;&lt;/dates&gt;&lt;isbn&gt;1423-0208&lt;/isbn&gt;&lt;urls&gt;&lt;/urls&gt;&lt;/record&gt;&lt;/Cite&gt;&lt;/EndNote&gt;</w:instrText>
      </w:r>
      <w:r w:rsidR="00C37205">
        <w:rPr>
          <w:rFonts w:ascii="Times New Roman" w:hAnsi="Times New Roman" w:cs="Times New Roman"/>
          <w:sz w:val="24"/>
          <w:szCs w:val="24"/>
        </w:rPr>
        <w:fldChar w:fldCharType="separate"/>
      </w:r>
      <w:r w:rsidR="00C37205">
        <w:rPr>
          <w:rFonts w:ascii="Times New Roman" w:hAnsi="Times New Roman" w:cs="Times New Roman"/>
          <w:noProof/>
          <w:sz w:val="24"/>
          <w:szCs w:val="24"/>
        </w:rPr>
        <w:t>(Bennett et al., 2005)</w:t>
      </w:r>
      <w:r w:rsidR="00C37205">
        <w:rPr>
          <w:rFonts w:ascii="Times New Roman" w:hAnsi="Times New Roman" w:cs="Times New Roman"/>
          <w:sz w:val="24"/>
          <w:szCs w:val="24"/>
        </w:rPr>
        <w:fldChar w:fldCharType="end"/>
      </w:r>
      <w:r w:rsidR="00FF749F">
        <w:rPr>
          <w:rFonts w:ascii="Times New Roman" w:hAnsi="Times New Roman" w:cs="Times New Roman"/>
          <w:sz w:val="24"/>
          <w:szCs w:val="24"/>
        </w:rPr>
        <w:t xml:space="preserve">. </w:t>
      </w:r>
      <w:r w:rsidR="000F5B39">
        <w:rPr>
          <w:rFonts w:ascii="Times New Roman" w:hAnsi="Times New Roman" w:cs="Times New Roman"/>
          <w:sz w:val="24"/>
          <w:szCs w:val="24"/>
        </w:rPr>
        <w:t>Participants were also encouraged to speak to f</w:t>
      </w:r>
      <w:r w:rsidR="00FF749F">
        <w:rPr>
          <w:rFonts w:ascii="Times New Roman" w:hAnsi="Times New Roman" w:cs="Times New Roman"/>
          <w:sz w:val="24"/>
          <w:szCs w:val="24"/>
        </w:rPr>
        <w:t xml:space="preserve">amily members </w:t>
      </w:r>
      <w:r w:rsidR="000F5B39">
        <w:rPr>
          <w:rFonts w:ascii="Times New Roman" w:hAnsi="Times New Roman" w:cs="Times New Roman"/>
          <w:sz w:val="24"/>
          <w:szCs w:val="24"/>
        </w:rPr>
        <w:t>about their involvement in the study. Because residents of continuing care facilities are more likely to be white and affluent, a</w:t>
      </w:r>
      <w:r w:rsidR="00230D49">
        <w:rPr>
          <w:rFonts w:ascii="Times New Roman" w:hAnsi="Times New Roman" w:cs="Times New Roman"/>
          <w:sz w:val="24"/>
          <w:szCs w:val="24"/>
        </w:rPr>
        <w:t xml:space="preserve">n effort was made to include residents of subsidized retirement homes, and recruit from local churches and social service agencies to ensure low-income and minority elderly were included. </w:t>
      </w:r>
      <w:r w:rsidR="00A76CFE">
        <w:rPr>
          <w:rFonts w:ascii="Times New Roman" w:hAnsi="Times New Roman" w:cs="Times New Roman"/>
          <w:sz w:val="24"/>
          <w:szCs w:val="24"/>
        </w:rPr>
        <w:t>Individuals were required to be free from dementia</w:t>
      </w:r>
      <w:r w:rsidR="000F5B39">
        <w:rPr>
          <w:rFonts w:ascii="Times New Roman" w:hAnsi="Times New Roman" w:cs="Times New Roman"/>
          <w:sz w:val="24"/>
          <w:szCs w:val="24"/>
        </w:rPr>
        <w:t xml:space="preserve"> at study enrollment</w:t>
      </w:r>
      <w:r w:rsidR="00A76CFE">
        <w:rPr>
          <w:rFonts w:ascii="Times New Roman" w:hAnsi="Times New Roman" w:cs="Times New Roman"/>
          <w:sz w:val="24"/>
          <w:szCs w:val="24"/>
        </w:rPr>
        <w:t>, to participate in annual clinic</w:t>
      </w:r>
      <w:r w:rsidR="005A563F">
        <w:rPr>
          <w:rFonts w:ascii="Times New Roman" w:hAnsi="Times New Roman" w:cs="Times New Roman"/>
          <w:sz w:val="24"/>
          <w:szCs w:val="24"/>
        </w:rPr>
        <w:t>al</w:t>
      </w:r>
      <w:r w:rsidR="00A76CFE">
        <w:rPr>
          <w:rFonts w:ascii="Times New Roman" w:hAnsi="Times New Roman" w:cs="Times New Roman"/>
          <w:sz w:val="24"/>
          <w:szCs w:val="24"/>
        </w:rPr>
        <w:t xml:space="preserve"> evaluations, and agree to donation of their spinal cord, muscle and nerve tissues,</w:t>
      </w:r>
      <w:r w:rsidR="0093004A">
        <w:rPr>
          <w:rFonts w:ascii="Times New Roman" w:hAnsi="Times New Roman" w:cs="Times New Roman"/>
          <w:sz w:val="24"/>
          <w:szCs w:val="24"/>
        </w:rPr>
        <w:t xml:space="preserve"> and brain at the time of death. </w:t>
      </w:r>
      <w:r w:rsidR="00A76CFE">
        <w:rPr>
          <w:rFonts w:ascii="Times New Roman" w:hAnsi="Times New Roman" w:cs="Times New Roman"/>
          <w:sz w:val="24"/>
          <w:szCs w:val="24"/>
        </w:rPr>
        <w:t xml:space="preserve"> </w:t>
      </w:r>
      <w:r w:rsidR="00230D49">
        <w:rPr>
          <w:rFonts w:ascii="Times New Roman" w:hAnsi="Times New Roman" w:cs="Times New Roman"/>
          <w:sz w:val="24"/>
          <w:szCs w:val="24"/>
        </w:rPr>
        <w:t>There were no other exclusion criteria and all clinical evaluations we</w:t>
      </w:r>
      <w:r w:rsidR="00034623">
        <w:rPr>
          <w:rFonts w:ascii="Times New Roman" w:hAnsi="Times New Roman" w:cs="Times New Roman"/>
          <w:sz w:val="24"/>
          <w:szCs w:val="24"/>
        </w:rPr>
        <w:t>re</w:t>
      </w:r>
      <w:r w:rsidR="005A563F">
        <w:rPr>
          <w:rFonts w:ascii="Times New Roman" w:hAnsi="Times New Roman" w:cs="Times New Roman"/>
          <w:sz w:val="24"/>
          <w:szCs w:val="24"/>
        </w:rPr>
        <w:t xml:space="preserve"> all conducted as</w:t>
      </w:r>
      <w:r w:rsidR="00034623">
        <w:rPr>
          <w:rFonts w:ascii="Times New Roman" w:hAnsi="Times New Roman" w:cs="Times New Roman"/>
          <w:sz w:val="24"/>
          <w:szCs w:val="24"/>
        </w:rPr>
        <w:t xml:space="preserve"> home visits. This enable</w:t>
      </w:r>
      <w:r w:rsidR="005A563F">
        <w:rPr>
          <w:rFonts w:ascii="Times New Roman" w:hAnsi="Times New Roman" w:cs="Times New Roman"/>
          <w:sz w:val="24"/>
          <w:szCs w:val="24"/>
        </w:rPr>
        <w:t xml:space="preserve">d a more inclusive study sample </w:t>
      </w:r>
      <w:r w:rsidR="00034623">
        <w:rPr>
          <w:rFonts w:ascii="Times New Roman" w:hAnsi="Times New Roman" w:cs="Times New Roman"/>
          <w:sz w:val="24"/>
          <w:szCs w:val="24"/>
        </w:rPr>
        <w:t>where common conditions and multiple comorbidities are represented</w:t>
      </w:r>
      <w:r w:rsidR="005A563F">
        <w:rPr>
          <w:rFonts w:ascii="Times New Roman" w:hAnsi="Times New Roman" w:cs="Times New Roman"/>
          <w:sz w:val="24"/>
          <w:szCs w:val="24"/>
        </w:rPr>
        <w:t xml:space="preserve"> and minimized participant drop out due to health</w:t>
      </w:r>
      <w:r w:rsidR="000346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2B55" w:rsidRDefault="00152B55" w:rsidP="00D71F1F">
      <w:pPr>
        <w:rPr>
          <w:rFonts w:ascii="Times New Roman" w:hAnsi="Times New Roman" w:cs="Times New Roman"/>
          <w:b/>
          <w:sz w:val="24"/>
          <w:szCs w:val="24"/>
        </w:rPr>
      </w:pPr>
    </w:p>
    <w:p w:rsidR="007E13D0" w:rsidRPr="007E13D0" w:rsidRDefault="007E13D0" w:rsidP="00D71F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E13D0">
        <w:rPr>
          <w:rFonts w:ascii="Times New Roman" w:hAnsi="Times New Roman" w:cs="Times New Roman"/>
          <w:b/>
          <w:sz w:val="24"/>
          <w:szCs w:val="24"/>
        </w:rPr>
        <w:t>Measure</w:t>
      </w:r>
      <w:r w:rsidR="00603A9C">
        <w:rPr>
          <w:rFonts w:ascii="Times New Roman" w:hAnsi="Times New Roman" w:cs="Times New Roman"/>
          <w:b/>
          <w:sz w:val="24"/>
          <w:szCs w:val="24"/>
        </w:rPr>
        <w:t>s</w:t>
      </w:r>
    </w:p>
    <w:p w:rsidR="00603A9C" w:rsidRDefault="00603A9C" w:rsidP="00730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Demographics</w:t>
      </w:r>
    </w:p>
    <w:p w:rsidR="00694692" w:rsidRDefault="004E3948" w:rsidP="0073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and r</w:t>
      </w:r>
      <w:r w:rsidR="00603A9C">
        <w:rPr>
          <w:rFonts w:ascii="Times New Roman" w:hAnsi="Times New Roman" w:cs="Times New Roman"/>
          <w:sz w:val="24"/>
          <w:szCs w:val="24"/>
        </w:rPr>
        <w:t>ace and ethnicity were gathered from</w:t>
      </w:r>
      <w:r w:rsidR="00291AAB">
        <w:rPr>
          <w:rFonts w:ascii="Times New Roman" w:hAnsi="Times New Roman" w:cs="Times New Roman"/>
          <w:sz w:val="24"/>
          <w:szCs w:val="24"/>
        </w:rPr>
        <w:t xml:space="preserve"> </w:t>
      </w:r>
      <w:r w:rsidR="00694692">
        <w:rPr>
          <w:rFonts w:ascii="Times New Roman" w:hAnsi="Times New Roman" w:cs="Times New Roman"/>
          <w:sz w:val="24"/>
          <w:szCs w:val="24"/>
        </w:rPr>
        <w:t xml:space="preserve">what was reported in the </w:t>
      </w:r>
      <w:r w:rsidR="00291AAB">
        <w:rPr>
          <w:rFonts w:ascii="Times New Roman" w:hAnsi="Times New Roman" w:cs="Times New Roman"/>
          <w:sz w:val="24"/>
          <w:szCs w:val="24"/>
        </w:rPr>
        <w:t>1990 U.S. Census.</w:t>
      </w:r>
      <w:r w:rsidR="00EE3207">
        <w:rPr>
          <w:rFonts w:ascii="Times New Roman" w:hAnsi="Times New Roman" w:cs="Times New Roman"/>
          <w:sz w:val="24"/>
          <w:szCs w:val="24"/>
        </w:rPr>
        <w:t xml:space="preserve"> Participants were additionally asked if they considered themselves of Spanish, Hispanic or Latino origin. Age was calculated from date of birth. </w:t>
      </w:r>
    </w:p>
    <w:p w:rsidR="00131943" w:rsidRDefault="007E13D0" w:rsidP="001319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Cognitive Performance Tests</w:t>
      </w:r>
    </w:p>
    <w:p w:rsidR="001967A4" w:rsidRPr="00131943" w:rsidRDefault="001967A4" w:rsidP="00131943">
      <w:pPr>
        <w:rPr>
          <w:rFonts w:ascii="Times New Roman" w:hAnsi="Times New Roman" w:cs="Times New Roman"/>
          <w:b/>
          <w:sz w:val="24"/>
          <w:szCs w:val="24"/>
        </w:rPr>
      </w:pPr>
      <w:r w:rsidRPr="001967A4">
        <w:rPr>
          <w:rFonts w:ascii="Times New Roman" w:hAnsi="Times New Roman" w:cs="Times New Roman"/>
          <w:i/>
          <w:sz w:val="24"/>
          <w:szCs w:val="24"/>
        </w:rPr>
        <w:t>Mental Status</w:t>
      </w:r>
    </w:p>
    <w:p w:rsidR="00131943" w:rsidRDefault="001967A4" w:rsidP="001319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1943">
        <w:rPr>
          <w:rFonts w:ascii="Times New Roman" w:hAnsi="Times New Roman" w:cs="Times New Roman"/>
          <w:sz w:val="24"/>
          <w:szCs w:val="24"/>
        </w:rPr>
        <w:t>Mini-Mental State Exam (</w:t>
      </w:r>
      <w:r>
        <w:rPr>
          <w:rFonts w:ascii="Times New Roman" w:hAnsi="Times New Roman" w:cs="Times New Roman"/>
          <w:sz w:val="24"/>
          <w:szCs w:val="24"/>
        </w:rPr>
        <w:t>MMSE</w:t>
      </w:r>
      <w:r w:rsidR="00131943">
        <w:rPr>
          <w:rFonts w:ascii="Times New Roman" w:hAnsi="Times New Roman" w:cs="Times New Roman"/>
          <w:sz w:val="24"/>
          <w:szCs w:val="24"/>
        </w:rPr>
        <w:t>)</w:t>
      </w:r>
      <w:r w:rsidR="00D602AF">
        <w:rPr>
          <w:rFonts w:ascii="Times New Roman" w:hAnsi="Times New Roman" w:cs="Times New Roman"/>
          <w:sz w:val="24"/>
          <w:szCs w:val="24"/>
        </w:rPr>
        <w:t xml:space="preserve"> is a commonly used screening measure for mental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205">
        <w:rPr>
          <w:rFonts w:ascii="Times New Roman" w:hAnsi="Times New Roman" w:cs="Times New Roman"/>
          <w:sz w:val="24"/>
          <w:szCs w:val="24"/>
        </w:rPr>
        <w:fldChar w:fldCharType="begin"/>
      </w:r>
      <w:r w:rsidR="00C3720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&lt;EndNote&gt;&lt;Cite&gt;&lt;Author&gt;Folstein&lt;/Author&gt;&lt;Year&gt;1975&lt;/Year&gt;&lt;RecNum&gt;344&lt;/RecNum&gt;&lt;DisplayText&gt;(Folstein, Folstein, &amp;amp; McHugh, 1975)&lt;/DisplayText&gt;&lt;record&gt;&lt;rec-number&gt;344&lt;/rec-number&gt;&lt;foreign-keys&gt;&lt;key app="EN" db-id="vrwxspddvsdtspeax5evd9rkv0vs9e9vzw2v" timestamp="1440804139"&gt;344&lt;/key&gt;&lt;/foreign-keys&gt;&lt;ref-type name="Journal Article"&gt;17&lt;/ref-type&gt;&lt;contributors&gt;&lt;authors&gt;&lt;author&gt;Folstein, Marshal F&lt;/author&gt;&lt;author&gt;Folstein, Susan E&lt;/author&gt;&lt;author&gt;McHugh, Paul R&lt;/author&gt;&lt;/authors&gt;&lt;/contributors&gt;&lt;titles&gt;&lt;title&gt;“Mini-mental state”: a practical method for grading the cognitive state of patients for the clinician&lt;/title&gt;&lt;secondary-title&gt;Journal of psychiatric research&lt;/secondary-title&gt;&lt;/titles&gt;&lt;periodical&gt;&lt;full-title&gt;Journal of psychiatric research&lt;/full-title&gt;&lt;/periodical&gt;&lt;pages&gt;189-198&lt;/pages&gt;&lt;volume&gt;12&lt;/volume&gt;&lt;number&gt;3&lt;/number&gt;&lt;dates&gt;&lt;year&gt;1975&lt;/year&gt;&lt;/dates&gt;&lt;isbn&gt;0022-3956&lt;/isbn&gt;&lt;urls&gt;&lt;/urls&gt;&lt;/record&gt;&lt;/Cite&gt;&lt;/EndNote&gt;</w:instrText>
      </w:r>
      <w:r w:rsidR="00C37205">
        <w:rPr>
          <w:rFonts w:ascii="Times New Roman" w:hAnsi="Times New Roman" w:cs="Times New Roman"/>
          <w:sz w:val="24"/>
          <w:szCs w:val="24"/>
        </w:rPr>
        <w:fldChar w:fldCharType="separate"/>
      </w:r>
      <w:r w:rsidR="00C37205">
        <w:rPr>
          <w:rFonts w:ascii="Times New Roman" w:hAnsi="Times New Roman" w:cs="Times New Roman"/>
          <w:noProof/>
          <w:sz w:val="24"/>
          <w:szCs w:val="24"/>
        </w:rPr>
        <w:t>(Folstein, Folstein, &amp; McHugh, 1975)</w:t>
      </w:r>
      <w:r w:rsidR="00C37205">
        <w:rPr>
          <w:rFonts w:ascii="Times New Roman" w:hAnsi="Times New Roman" w:cs="Times New Roman"/>
          <w:sz w:val="24"/>
          <w:szCs w:val="24"/>
        </w:rPr>
        <w:fldChar w:fldCharType="end"/>
      </w:r>
      <w:r w:rsidR="00D602AF">
        <w:rPr>
          <w:rFonts w:ascii="Times New Roman" w:hAnsi="Times New Roman" w:cs="Times New Roman"/>
          <w:sz w:val="24"/>
          <w:szCs w:val="24"/>
        </w:rPr>
        <w:t>. Participants respond to items assessing orientation to time and place, attention, memory, working memory, and object naming</w:t>
      </w:r>
      <w:r w:rsidR="008F6A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A68" w:rsidRDefault="008F6A68" w:rsidP="001319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22BF">
        <w:rPr>
          <w:rFonts w:ascii="Times New Roman" w:hAnsi="Times New Roman" w:cs="Times New Roman"/>
          <w:sz w:val="24"/>
          <w:szCs w:val="24"/>
        </w:rPr>
        <w:t>Judgment of line orientation</w:t>
      </w:r>
      <w:r>
        <w:rPr>
          <w:rFonts w:ascii="Times New Roman" w:hAnsi="Times New Roman" w:cs="Times New Roman"/>
          <w:sz w:val="24"/>
          <w:szCs w:val="24"/>
        </w:rPr>
        <w:t xml:space="preserve"> is a 15-item test of visual perception although considered here to be mental status because cognitively intact individuals typically perform near ceiling</w:t>
      </w:r>
      <w:r w:rsidR="0008795C">
        <w:rPr>
          <w:rFonts w:ascii="Times New Roman" w:hAnsi="Times New Roman" w:cs="Times New Roman"/>
          <w:sz w:val="24"/>
          <w:szCs w:val="24"/>
        </w:rPr>
        <w:t xml:space="preserve"> </w:t>
      </w:r>
      <w:r w:rsidR="00C37205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C3720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&lt;EndNote&gt;&lt;Cite&gt;&lt;Author&gt;Benton&lt;/Author&gt;&lt;Year&gt;1978&lt;/Year&gt;&lt;RecNum&gt;357&lt;/RecNum&gt;&lt;DisplayText&gt;(Benton, Varney, &amp;amp; deS Hamsher, 1978)&lt;/DisplayText&gt;&lt;record&gt;&lt;rec-number&gt;357&lt;/rec-number&gt;&lt;foreign-keys&gt;&lt;key app="EN" db-id="vrwxspddvsdtspeax5evd9rkv0vs9e9vzw2v" timestamp="1440887192"&gt;357&lt;/key&gt;&lt;/foreign-keys&gt;&lt;ref-type name="Journal Article"&gt;17&lt;/ref-type&gt;&lt;contributors&gt;&lt;authors&gt;&lt;author&gt;Benton, Arthur L&lt;/author&gt;&lt;author&gt;Varney, Nils R&lt;/author&gt;&lt;author&gt;deS Hamsher, Kerry&lt;/author&gt;&lt;/authors&gt;&lt;/contributors&gt;&lt;titles&gt;&lt;title&gt;Visuospatial judgment: A clinical test&lt;/title&gt;&lt;secondary-title&gt;Archives of Neurology&lt;/secondary-title&gt;&lt;/titles&gt;&lt;periodical&gt;&lt;full-title&gt;Archives of Neurology&lt;/full-title&gt;&lt;/periodical&gt;&lt;pages&gt;364-367&lt;/pages&gt;&lt;volume&gt;35&lt;/volume&gt;&lt;number&gt;6&lt;/number&gt;&lt;dates&gt;&lt;year&gt;1978&lt;/year&gt;&lt;/dates&gt;&lt;isbn&gt;0003-9942&lt;/isbn&gt;&lt;urls&gt;&lt;/urls&gt;&lt;/record&gt;&lt;/Cite&gt;&lt;/EndNote&gt;</w:instrText>
      </w:r>
      <w:r w:rsidR="00C37205">
        <w:rPr>
          <w:rFonts w:ascii="Times New Roman" w:hAnsi="Times New Roman" w:cs="Times New Roman"/>
          <w:sz w:val="24"/>
          <w:szCs w:val="24"/>
        </w:rPr>
        <w:fldChar w:fldCharType="separate"/>
      </w:r>
      <w:r w:rsidR="00C37205">
        <w:rPr>
          <w:rFonts w:ascii="Times New Roman" w:hAnsi="Times New Roman" w:cs="Times New Roman"/>
          <w:noProof/>
          <w:sz w:val="24"/>
          <w:szCs w:val="24"/>
        </w:rPr>
        <w:t>(Benton, Varney, &amp; deS Hamsher, 1978)</w:t>
      </w:r>
      <w:r w:rsidR="00C3720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task is for participants to judge the angle subtended by two lines by matching the item line angle to samples. </w:t>
      </w:r>
    </w:p>
    <w:p w:rsidR="008F6A68" w:rsidRDefault="00725A3E" w:rsidP="0063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B62" w:rsidRDefault="005B1B62" w:rsidP="008F6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488A" w:rsidRPr="00603A9C" w:rsidRDefault="00603A9C" w:rsidP="008F6A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A9C">
        <w:rPr>
          <w:rFonts w:ascii="Times New Roman" w:hAnsi="Times New Roman" w:cs="Times New Roman"/>
          <w:b/>
          <w:sz w:val="24"/>
          <w:szCs w:val="24"/>
        </w:rPr>
        <w:t>Covariates</w:t>
      </w:r>
      <w:r w:rsidR="00CE488A" w:rsidRPr="00603A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1FFA" w:rsidRDefault="00801FFA" w:rsidP="008F6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3B0" w:rsidRDefault="00C41454" w:rsidP="007324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 report information about </w:t>
      </w:r>
      <w:r w:rsidR="00F35440">
        <w:rPr>
          <w:rFonts w:ascii="Times New Roman" w:hAnsi="Times New Roman" w:cs="Times New Roman"/>
          <w:sz w:val="24"/>
          <w:szCs w:val="24"/>
        </w:rPr>
        <w:t>various health conditions</w:t>
      </w:r>
      <w:r>
        <w:rPr>
          <w:rFonts w:ascii="Times New Roman" w:hAnsi="Times New Roman" w:cs="Times New Roman"/>
          <w:sz w:val="24"/>
          <w:szCs w:val="24"/>
        </w:rPr>
        <w:t xml:space="preserve"> was gathered via a structured questionnaire</w:t>
      </w:r>
      <w:r w:rsidR="00F35440">
        <w:rPr>
          <w:rFonts w:ascii="Times New Roman" w:hAnsi="Times New Roman" w:cs="Times New Roman"/>
          <w:sz w:val="24"/>
          <w:szCs w:val="24"/>
        </w:rPr>
        <w:t xml:space="preserve">. </w:t>
      </w:r>
      <w:r w:rsidR="004A1B6E">
        <w:rPr>
          <w:rFonts w:ascii="Times New Roman" w:hAnsi="Times New Roman" w:cs="Times New Roman"/>
          <w:sz w:val="24"/>
          <w:szCs w:val="24"/>
        </w:rPr>
        <w:t>Participants were asked if they had ever been told by a doctor, nurse or therapist that they have had a heart attack or coronary, coronary thrombosis, coronary occlu</w:t>
      </w:r>
      <w:r w:rsidR="00162E7D">
        <w:rPr>
          <w:rFonts w:ascii="Times New Roman" w:hAnsi="Times New Roman" w:cs="Times New Roman"/>
          <w:sz w:val="24"/>
          <w:szCs w:val="24"/>
        </w:rPr>
        <w:t xml:space="preserve">sion, or myocardial infarction during the baseline interview and then asked if any of these events had occurred since the last assessment at subsequent interview. A score of 0 was assigned if none were ever reported and 1 if the participant ever responded yes to the question. </w:t>
      </w:r>
      <w:r w:rsidR="003533B0">
        <w:rPr>
          <w:rFonts w:ascii="Times New Roman" w:hAnsi="Times New Roman" w:cs="Times New Roman"/>
          <w:sz w:val="24"/>
          <w:szCs w:val="24"/>
        </w:rPr>
        <w:t>Participants were asked about their history of smoking at the baseline interview</w:t>
      </w:r>
      <w:r>
        <w:rPr>
          <w:rFonts w:ascii="Times New Roman" w:hAnsi="Times New Roman" w:cs="Times New Roman"/>
          <w:sz w:val="24"/>
          <w:szCs w:val="24"/>
        </w:rPr>
        <w:t xml:space="preserve"> as part of a structured questionnaire</w:t>
      </w:r>
      <w:r w:rsidR="003533B0">
        <w:rPr>
          <w:rFonts w:ascii="Times New Roman" w:hAnsi="Times New Roman" w:cs="Times New Roman"/>
          <w:sz w:val="24"/>
          <w:szCs w:val="24"/>
        </w:rPr>
        <w:t xml:space="preserve">. Values were assigned from 0 (never smoked), 1 (former </w:t>
      </w:r>
      <w:r w:rsidR="001967A4">
        <w:rPr>
          <w:rFonts w:ascii="Times New Roman" w:hAnsi="Times New Roman" w:cs="Times New Roman"/>
          <w:sz w:val="24"/>
          <w:szCs w:val="24"/>
        </w:rPr>
        <w:t>smoker), or 2 (current smoker). A diagnosis of diabetes was based on self-report and medication use (e.g., insulin).</w:t>
      </w:r>
      <w:r w:rsidR="00B70CED">
        <w:rPr>
          <w:rFonts w:ascii="Times New Roman" w:hAnsi="Times New Roman" w:cs="Times New Roman"/>
          <w:sz w:val="24"/>
          <w:szCs w:val="24"/>
        </w:rPr>
        <w:t xml:space="preserve"> Participant’s height was measured (meters) as part of the baseline clinical examination. </w:t>
      </w:r>
      <w:r w:rsidR="00120C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D13" w:rsidRDefault="008E7D13" w:rsidP="008F6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E55" w:rsidRDefault="00EC5E55" w:rsidP="00C37205">
      <w:pPr>
        <w:pStyle w:val="EndNoteBibliographyTitle"/>
      </w:pPr>
    </w:p>
    <w:p w:rsidR="00EC5E55" w:rsidRDefault="00EC5E55">
      <w:pPr>
        <w:rPr>
          <w:rFonts w:ascii="Times New Roman" w:hAnsi="Times New Roman" w:cs="Times New Roman"/>
          <w:noProof/>
          <w:sz w:val="24"/>
          <w:lang w:val="en-US"/>
        </w:rPr>
      </w:pPr>
      <w:r>
        <w:br w:type="page"/>
      </w:r>
    </w:p>
    <w:p w:rsidR="00C37205" w:rsidRPr="00D71F1F" w:rsidRDefault="00C37205" w:rsidP="00C37205">
      <w:pPr>
        <w:pStyle w:val="EndNoteBibliographyTitle"/>
        <w:rPr>
          <w:b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D71F1F">
        <w:rPr>
          <w:b/>
        </w:rPr>
        <w:t>References</w:t>
      </w:r>
    </w:p>
    <w:p w:rsidR="00C37205" w:rsidRPr="00C37205" w:rsidRDefault="00C37205" w:rsidP="00C37205">
      <w:pPr>
        <w:pStyle w:val="EndNoteBibliographyTitle"/>
      </w:pP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Albert, M., Smith, L. A., Scherr, P. A., Taylor, J. O., Evans, D. A., &amp; Funkenstein, H. H. (1991). Use of brief cognitive tests to identify individuals in the community with clinically diagnosed Alzheimer's disease. </w:t>
      </w:r>
      <w:r w:rsidRPr="00C37205">
        <w:rPr>
          <w:i/>
        </w:rPr>
        <w:t>International journal of Neuroscience, 57</w:t>
      </w:r>
      <w:r w:rsidRPr="00C37205">
        <w:t xml:space="preserve">(3-4), 167-178.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Bennett, D. A., Schneider, J. A., Buchman, A. S., Barnes, L. L., Boyle, P. A., &amp; Wilson, R. S. (2012). Overview and findings from the Rush Memory and Aging Project. </w:t>
      </w:r>
      <w:r w:rsidRPr="00C37205">
        <w:rPr>
          <w:i/>
        </w:rPr>
        <w:t>Current Alzheimer Research, 9</w:t>
      </w:r>
      <w:r w:rsidRPr="00C37205">
        <w:t xml:space="preserve">(6), 646.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Bennett, D. A., Schneider, J. A., Buchman, A. S., Mendes de Leon, C., Bienias, J. L., &amp; Wilson, R. S. (2005). The Rush Memory and Aging Project: study design and baseline characteristics of the study cohort. </w:t>
      </w:r>
      <w:r w:rsidRPr="00C37205">
        <w:rPr>
          <w:i/>
        </w:rPr>
        <w:t>Neuroepidemiology, 25</w:t>
      </w:r>
      <w:r w:rsidRPr="00C37205">
        <w:t xml:space="preserve">(4), 163-175.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Benton, A. L., Varney, N. R., &amp; deS Hamsher, K. (1978). Visuospatial judgment: A clinical test. </w:t>
      </w:r>
      <w:r w:rsidRPr="00C37205">
        <w:rPr>
          <w:i/>
        </w:rPr>
        <w:t>Archives of Neurology, 35</w:t>
      </w:r>
      <w:r w:rsidRPr="00C37205">
        <w:t xml:space="preserve">(6), 364-367.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Buchman, A. S., Wilson, R. S., Bienias, J. L., &amp; Bennett, D. A. (2005). Gender differences in upper extremity motor performance of older persons. </w:t>
      </w:r>
      <w:r w:rsidRPr="00C37205">
        <w:rPr>
          <w:i/>
        </w:rPr>
        <w:t>Geriatrics &amp; gerontology international, 5</w:t>
      </w:r>
      <w:r w:rsidRPr="00C37205">
        <w:t xml:space="preserve">(1), 59-65.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Cooper, J. A., &amp; Sagar, H. J. (1993). Incidental and intentional recall in Parkinson's disease: an account based on diminished attentional resources. </w:t>
      </w:r>
      <w:r w:rsidRPr="00C37205">
        <w:rPr>
          <w:i/>
        </w:rPr>
        <w:t>Journal of Clinical and Experimental Neuropsychology, 15</w:t>
      </w:r>
      <w:r w:rsidRPr="00C37205">
        <w:t xml:space="preserve">(5), 713-731.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Ekstrom, R. B., French, J. W., Harman, H. H., &amp; Dermen, D. (1976). </w:t>
      </w:r>
      <w:r w:rsidRPr="00C37205">
        <w:rPr>
          <w:i/>
        </w:rPr>
        <w:t>Manual for kit of factor referenced cognitive tests</w:t>
      </w:r>
      <w:r w:rsidRPr="00C37205">
        <w:t>: Educational Testing Service Princeton, NJ.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Folstein, M. F., Folstein, S. E., &amp; McHugh, P. R. (1975). “Mini-mental state”: a practical method for grading the cognitive state of patients for the clinician. </w:t>
      </w:r>
      <w:r w:rsidRPr="00C37205">
        <w:rPr>
          <w:i/>
        </w:rPr>
        <w:t>Journal of psychiatric research, 12</w:t>
      </w:r>
      <w:r w:rsidRPr="00C37205">
        <w:t xml:space="preserve">(3), 189-198.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Goodglass, H., &amp; Kaplan, E. (1972). </w:t>
      </w:r>
      <w:r w:rsidRPr="00C37205">
        <w:rPr>
          <w:i/>
        </w:rPr>
        <w:t>The Assessment of Aphasia and Related Disorders</w:t>
      </w:r>
      <w:r w:rsidRPr="00C37205">
        <w:t>. Philadelphia: Lea &amp; Febiger.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Kaplan, E., Goodglass, H., Weintraub, S., Segal, O., &amp; van Loon-Vervoorn, A. (2001). </w:t>
      </w:r>
      <w:r w:rsidRPr="00C37205">
        <w:rPr>
          <w:i/>
        </w:rPr>
        <w:t>Boston naming test</w:t>
      </w:r>
      <w:r w:rsidRPr="00C37205">
        <w:t>: Pro-ed.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Langston, J. W., Widner, H., Goetz, C. G., Brooks, D., Fahn, S., Freeman, T., &amp; Watts, R. (1992). Core assessment program for intracerebral transplantations (CAPIT). </w:t>
      </w:r>
      <w:r w:rsidRPr="00C37205">
        <w:rPr>
          <w:i/>
        </w:rPr>
        <w:t>Movement Disorders, 7</w:t>
      </w:r>
      <w:r w:rsidRPr="00C37205">
        <w:t xml:space="preserve">(1), 2-13.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McKeith, I., Perry, E., &amp; Perry, R. (1999). Report of the second dementia with Lewy body international workshop Diagnosis and treatment. </w:t>
      </w:r>
      <w:r w:rsidRPr="00C37205">
        <w:rPr>
          <w:i/>
        </w:rPr>
        <w:t>Neurology, 53</w:t>
      </w:r>
      <w:r w:rsidRPr="00C37205">
        <w:t xml:space="preserve">(5), 902-902.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>McKhann, G., Drachman, D., Folstein, M., Katzman, R., Price, D., &amp; Stadlan, E. M. (1984). Clinical diagnosis of Alzheimer's disease Report of the NINCDS</w:t>
      </w:r>
      <w:r w:rsidRPr="00C37205">
        <w:rPr>
          <w:rFonts w:ascii="Cambria Math" w:hAnsi="Cambria Math" w:cs="Cambria Math"/>
        </w:rPr>
        <w:t>‐</w:t>
      </w:r>
      <w:r w:rsidRPr="00C37205">
        <w:t xml:space="preserve">ADRDA Work Group* under the auspices of Department of Health and Human Services Task Force on Alzheimer's Disease. </w:t>
      </w:r>
      <w:r w:rsidRPr="00C37205">
        <w:rPr>
          <w:i/>
        </w:rPr>
        <w:t>Neurology, 34</w:t>
      </w:r>
      <w:r w:rsidRPr="00C37205">
        <w:t xml:space="preserve">(7), 939-939.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Morris, J., Heyman, A., Mohs, R., Hughes, J., Van Belle, G., Fillenbaum, G., . . . Clark, C. (1989). The consortium to establish a registry for Alzheimer's disease (CERAD): I. Clinical and neuropsychological assessment of Alzheimer's disease. </w:t>
      </w:r>
      <w:r w:rsidRPr="00C37205">
        <w:rPr>
          <w:i/>
        </w:rPr>
        <w:t>Neurology</w:t>
      </w:r>
      <w:r w:rsidRPr="00C37205">
        <w:t xml:space="preserve">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Raven, J. C., Court, J. H., &amp; Raven, J. (1992). Standard progressive matrices </w:t>
      </w:r>
      <w:r w:rsidRPr="00C37205">
        <w:rPr>
          <w:i/>
        </w:rPr>
        <w:t>Raven Manual, Section 3</w:t>
      </w:r>
      <w:r w:rsidRPr="00C37205">
        <w:t>. Oxford: Oxford Psychologist Press.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>Román, G. C., Tatemichi, T. K., Erkinjuntti, T., Cummings, J., Masdeu, J., Garcia, J. a., . . . Hofman, A. (1993). Vascular dementia Diagnostic criteria for research studies: Report of the NINDS</w:t>
      </w:r>
      <w:r w:rsidRPr="00C37205">
        <w:rPr>
          <w:rFonts w:ascii="Cambria Math" w:hAnsi="Cambria Math" w:cs="Cambria Math"/>
        </w:rPr>
        <w:t>‐</w:t>
      </w:r>
      <w:r w:rsidRPr="00C37205">
        <w:t xml:space="preserve">AIREN International Workshop*. </w:t>
      </w:r>
      <w:r w:rsidRPr="00C37205">
        <w:rPr>
          <w:i/>
        </w:rPr>
        <w:t>Neurology, 43</w:t>
      </w:r>
      <w:r w:rsidRPr="00C37205">
        <w:t xml:space="preserve">(2), 250-250. 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lastRenderedPageBreak/>
        <w:t xml:space="preserve">Smith, A. (1984). </w:t>
      </w:r>
      <w:r w:rsidRPr="00C37205">
        <w:rPr>
          <w:i/>
        </w:rPr>
        <w:t>Symbol Digit Modalities Test manual-revised</w:t>
      </w:r>
      <w:r w:rsidRPr="00C37205">
        <w:t>. Los Angeles: Western Psychological.</w:t>
      </w:r>
    </w:p>
    <w:p w:rsidR="00C37205" w:rsidRPr="00C37205" w:rsidRDefault="00C37205" w:rsidP="00C37205">
      <w:pPr>
        <w:pStyle w:val="EndNoteBibliography"/>
        <w:spacing w:after="0"/>
        <w:ind w:left="720" w:hanging="720"/>
      </w:pPr>
      <w:r w:rsidRPr="00C37205">
        <w:t xml:space="preserve">Wechsler, D. (1987). </w:t>
      </w:r>
      <w:r w:rsidRPr="00C37205">
        <w:rPr>
          <w:i/>
        </w:rPr>
        <w:t>Wechsler Memory Scale-Revised Manual</w:t>
      </w:r>
      <w:r w:rsidRPr="00C37205">
        <w:t>. New York: Psychological Corporation.</w:t>
      </w:r>
    </w:p>
    <w:p w:rsidR="00C37205" w:rsidRPr="00C37205" w:rsidRDefault="00C37205" w:rsidP="00C37205">
      <w:pPr>
        <w:pStyle w:val="EndNoteBibliography"/>
        <w:ind w:left="720" w:hanging="720"/>
      </w:pPr>
      <w:r w:rsidRPr="00C37205">
        <w:t xml:space="preserve">Wilson, R. S., Beckett, L. A., Barnes, L. L., Schneider, J. A., Bach, J., Evans, D. A., &amp; Bennett, D. A. (2002). Individual differences in rates of change in cognitive abilities of older persons. </w:t>
      </w:r>
      <w:r w:rsidRPr="00C37205">
        <w:rPr>
          <w:i/>
        </w:rPr>
        <w:t>Psychology and aging, 17</w:t>
      </w:r>
      <w:r w:rsidRPr="00C37205">
        <w:t xml:space="preserve">(2), 179. </w:t>
      </w:r>
    </w:p>
    <w:p w:rsidR="00C41454" w:rsidRPr="00CE488A" w:rsidRDefault="00C37205" w:rsidP="008F6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C41454" w:rsidRPr="00CE488A" w:rsidSect="00717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wxspddvsdtspeax5evd9rkv0vs9e9vzw2v&quot;&gt;My EndNote Library&lt;record-ids&gt;&lt;item&gt;342&lt;/item&gt;&lt;item&gt;343&lt;/item&gt;&lt;item&gt;344&lt;/item&gt;&lt;item&gt;345&lt;/item&gt;&lt;item&gt;346&lt;/item&gt;&lt;item&gt;347&lt;/item&gt;&lt;item&gt;349&lt;/item&gt;&lt;item&gt;350&lt;/item&gt;&lt;item&gt;351&lt;/item&gt;&lt;item&gt;352&lt;/item&gt;&lt;item&gt;354&lt;/item&gt;&lt;item&gt;355&lt;/item&gt;&lt;item&gt;356&lt;/item&gt;&lt;item&gt;357&lt;/item&gt;&lt;item&gt;358&lt;/item&gt;&lt;item&gt;359&lt;/item&gt;&lt;item&gt;360&lt;/item&gt;&lt;item&gt;361&lt;/item&gt;&lt;item&gt;362&lt;/item&gt;&lt;/record-ids&gt;&lt;/item&gt;&lt;/Libraries&gt;"/>
  </w:docVars>
  <w:rsids>
    <w:rsidRoot w:val="00F813BF"/>
    <w:rsid w:val="0000732E"/>
    <w:rsid w:val="00034623"/>
    <w:rsid w:val="00041E6A"/>
    <w:rsid w:val="0008795C"/>
    <w:rsid w:val="0009728F"/>
    <w:rsid w:val="000F5B39"/>
    <w:rsid w:val="00120C3F"/>
    <w:rsid w:val="00131943"/>
    <w:rsid w:val="00147A8F"/>
    <w:rsid w:val="00152B55"/>
    <w:rsid w:val="00162E7D"/>
    <w:rsid w:val="0016712E"/>
    <w:rsid w:val="001760C4"/>
    <w:rsid w:val="0018187E"/>
    <w:rsid w:val="001967A4"/>
    <w:rsid w:val="001B61D8"/>
    <w:rsid w:val="001F60D3"/>
    <w:rsid w:val="00230D49"/>
    <w:rsid w:val="00254A16"/>
    <w:rsid w:val="00260888"/>
    <w:rsid w:val="00260F91"/>
    <w:rsid w:val="0027013E"/>
    <w:rsid w:val="00281505"/>
    <w:rsid w:val="00291AAB"/>
    <w:rsid w:val="002A51E5"/>
    <w:rsid w:val="002B213B"/>
    <w:rsid w:val="002D4EDC"/>
    <w:rsid w:val="002F7B2D"/>
    <w:rsid w:val="00307EB3"/>
    <w:rsid w:val="003533B0"/>
    <w:rsid w:val="00376E9E"/>
    <w:rsid w:val="003A7F9D"/>
    <w:rsid w:val="003E1085"/>
    <w:rsid w:val="004A1B6E"/>
    <w:rsid w:val="004D0422"/>
    <w:rsid w:val="004D599E"/>
    <w:rsid w:val="004E3948"/>
    <w:rsid w:val="00514F05"/>
    <w:rsid w:val="0052026A"/>
    <w:rsid w:val="0052613B"/>
    <w:rsid w:val="00527ED7"/>
    <w:rsid w:val="005615A5"/>
    <w:rsid w:val="005A2B29"/>
    <w:rsid w:val="005A3DF0"/>
    <w:rsid w:val="005A563F"/>
    <w:rsid w:val="005B1B62"/>
    <w:rsid w:val="005F3955"/>
    <w:rsid w:val="0060383D"/>
    <w:rsid w:val="00603A9C"/>
    <w:rsid w:val="00603BFD"/>
    <w:rsid w:val="00613C01"/>
    <w:rsid w:val="00630610"/>
    <w:rsid w:val="00635839"/>
    <w:rsid w:val="00694692"/>
    <w:rsid w:val="006F10BA"/>
    <w:rsid w:val="007024D7"/>
    <w:rsid w:val="00717087"/>
    <w:rsid w:val="00725A3E"/>
    <w:rsid w:val="00730D1A"/>
    <w:rsid w:val="007324C2"/>
    <w:rsid w:val="007778CD"/>
    <w:rsid w:val="0079330E"/>
    <w:rsid w:val="00793860"/>
    <w:rsid w:val="007C070D"/>
    <w:rsid w:val="007E13D0"/>
    <w:rsid w:val="007E554D"/>
    <w:rsid w:val="007E644C"/>
    <w:rsid w:val="00801FFA"/>
    <w:rsid w:val="00803FFC"/>
    <w:rsid w:val="0086605A"/>
    <w:rsid w:val="008A22BF"/>
    <w:rsid w:val="008B35FC"/>
    <w:rsid w:val="008C6863"/>
    <w:rsid w:val="008C6EC0"/>
    <w:rsid w:val="008E7D13"/>
    <w:rsid w:val="008F4DC2"/>
    <w:rsid w:val="008F6A68"/>
    <w:rsid w:val="00923C77"/>
    <w:rsid w:val="0093004A"/>
    <w:rsid w:val="00937674"/>
    <w:rsid w:val="0095173D"/>
    <w:rsid w:val="00966399"/>
    <w:rsid w:val="00987824"/>
    <w:rsid w:val="009C4D62"/>
    <w:rsid w:val="009E74DF"/>
    <w:rsid w:val="00A76CFE"/>
    <w:rsid w:val="00A80F64"/>
    <w:rsid w:val="00A84DA7"/>
    <w:rsid w:val="00AB4B6F"/>
    <w:rsid w:val="00AB7CB4"/>
    <w:rsid w:val="00B31895"/>
    <w:rsid w:val="00B70CED"/>
    <w:rsid w:val="00BD6F50"/>
    <w:rsid w:val="00C235DE"/>
    <w:rsid w:val="00C37205"/>
    <w:rsid w:val="00C41454"/>
    <w:rsid w:val="00C548E8"/>
    <w:rsid w:val="00C93209"/>
    <w:rsid w:val="00C9361C"/>
    <w:rsid w:val="00CD3037"/>
    <w:rsid w:val="00CE488A"/>
    <w:rsid w:val="00CE5F6D"/>
    <w:rsid w:val="00D1320F"/>
    <w:rsid w:val="00D4409F"/>
    <w:rsid w:val="00D602AF"/>
    <w:rsid w:val="00D71F1F"/>
    <w:rsid w:val="00D80A1A"/>
    <w:rsid w:val="00DB605A"/>
    <w:rsid w:val="00DC6550"/>
    <w:rsid w:val="00DE20CA"/>
    <w:rsid w:val="00E2788D"/>
    <w:rsid w:val="00E52460"/>
    <w:rsid w:val="00E82962"/>
    <w:rsid w:val="00EC5E55"/>
    <w:rsid w:val="00ED1507"/>
    <w:rsid w:val="00EE3207"/>
    <w:rsid w:val="00F013E1"/>
    <w:rsid w:val="00F13BD0"/>
    <w:rsid w:val="00F15820"/>
    <w:rsid w:val="00F35440"/>
    <w:rsid w:val="00F7552D"/>
    <w:rsid w:val="00F813BF"/>
    <w:rsid w:val="00FD31D5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7FBCC-2DF6-425C-82B3-DBDA43B8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37205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37205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37205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37205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Brown</dc:creator>
  <cp:keywords/>
  <dc:description/>
  <cp:lastModifiedBy>Andrey Koval</cp:lastModifiedBy>
  <cp:revision>8</cp:revision>
  <dcterms:created xsi:type="dcterms:W3CDTF">2015-08-30T00:07:00Z</dcterms:created>
  <dcterms:modified xsi:type="dcterms:W3CDTF">2016-11-09T15:20:00Z</dcterms:modified>
</cp:coreProperties>
</file>