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Does Crude Oil Price Volatility Affect Inflation in India?</w:t>
      </w:r>
    </w:p>
    <w:p>
      <w:pPr>
        <w:jc w:val="center"/>
      </w:pPr>
      <w:r>
        <w:rPr>
          <w:i/>
          <w:sz w:val="24"/>
        </w:rPr>
        <w:t>An Econometric Analysis of Indian CPI Inflation, 2014–2025</w:t>
      </w:r>
    </w:p>
    <w:p>
      <w:pPr>
        <w:jc w:val="center"/>
      </w:pPr>
      <w:r>
        <w:t>Econometric Analysis Laboratory Project</w:t>
      </w:r>
    </w:p>
    <w:p>
      <w:pPr>
        <w:pStyle w:val="Heading1"/>
      </w:pPr>
      <w:r>
        <w:t>Abstract</w:t>
      </w:r>
    </w:p>
    <w:p>
      <w:r>
        <w:t>This study examines whether crude oil price changes and volatility are associated with Indian consumer price inflation. Monthly observations cover January 2014–December 2025; the final dynamic regression uses 132 observations from January 2015–December 2025. Contemporaneous oil-price changes and contemporaneous three-month rolling oil volatility are statistically insignificant in the tested models. The one-month-lagged volatility coefficient is positive (0.015053) and statistically significant using Gretl's Newey–West HAC standard errors (Bartlett kernel, bandwidth 4; p = 0.0046). However, substantial residual autocorrelation remains. The result is best interpreted as a positive conditional association that warrants further robustness testing, not as proof of causality.</w:t>
      </w:r>
    </w:p>
    <w:p>
      <w:pPr>
        <w:pStyle w:val="Heading1"/>
      </w:pPr>
      <w:r>
        <w:t>1. Introduction and Research Objective</w:t>
      </w:r>
    </w:p>
    <w:p>
      <w:r>
        <w:t>Crude oil is an important input into transport, production, and distribution. International oil-market movements may affect domestic prices through fuel costs, transport costs, exchange rates, taxes, and pricing policies. Price direction and price volatility are distinct: direction measures whether prices rise or fall, while volatility measures the degree of recent fluctuation.</w:t>
      </w:r>
    </w:p>
    <w:p>
      <w:r>
        <w:t>The objective is to examine whether crude oil price volatility is associated with Indian CPI inflation, and whether any association is contemporaneous or appears with a one-month delay. This is an exploratory analysis; it does not identify a causal effect.</w:t>
      </w:r>
    </w:p>
    <w:p>
      <w:pPr>
        <w:pStyle w:val="Heading1"/>
      </w:pPr>
      <w:r>
        <w:t>2. Data and Variables</w:t>
      </w:r>
    </w:p>
    <w:p>
      <w:r>
        <w:t>The analysis-ready sample spans January 2014 to December 2025 (144 monthly observations). The dependent variable is combined Indian CPI year-on-year inflation, expressed as a percentage. The final dynamic model uses 132 observations from January 2015 to December 2025 because lagged variables are included.</w:t>
      </w:r>
    </w:p>
    <w:p>
      <w:r>
        <w:t>Explanatory variables include monthly percentage change in crude oil prices, three-month rolling standard deviation of monthly oil log returns (oil volatility), and monthly percentage change in the USD/INR exchange rate. The final model includes inflation lags at months 1, 2, and 12.</w:t>
      </w:r>
    </w:p>
    <w:p>
      <w:r>
        <w:t>The volatility variable is a backward-looking rolling measure, not a GARCH-estimated conditional variance.</w:t>
      </w:r>
    </w:p>
    <w:p>
      <w:pPr>
        <w:pStyle w:val="Heading1"/>
      </w:pPr>
      <w:r>
        <w:t>3. Methodology</w:t>
      </w:r>
    </w:p>
    <w:p>
      <w:r>
        <w:t>The analysis uses descriptive statistics, time-series plots, ADF checks, and a sequence of OLS regressions. The final specification is: inflation_t = constant + φ1 inflation_(t−1) + φ2 inflation_(t−2) + φ12 inflation_(t−12) + γ oil_volatility_(t−1) + δ USD/INR_change_t + error_t.</w:t>
      </w:r>
    </w:p>
    <w:p>
      <w:r>
        <w:t>Because residuals exhibit serial correlation, the final model is reported with Newey–West heteroskedasticity-and-autocorrelation-consistent (HAC) standard errors, using a Bartlett kernel and bandwidth 4. HAC changes the estimated covariance matrix and inference, not the OLS coefficients. It does not repair misspecified dynamics or establish causality.</w:t>
      </w:r>
    </w:p>
    <w:p>
      <w:pPr>
        <w:pStyle w:val="Heading1"/>
      </w:pPr>
      <w:r>
        <w:t>4. Main Empirical Results</w:t>
      </w:r>
    </w:p>
    <w:p>
      <w:r>
        <w:t>The baseline regression with contemporaneous oil-price and exchange-rate changes has very low explanatory power (R² approximately 0.003) and detects no significant contemporaneous association for either variable. Adding lagged inflation raises R² to around 0.81, indicating strong inflation persistence in these data.</w:t>
      </w:r>
    </w:p>
    <w:p>
      <w:r>
        <w:t>In the contemporaneous-volatility model, the oil-volatility coefficient is −0.00225 (p = 0.8003), providing no evidence of a contemporaneous association in that specification.</w:t>
      </w:r>
    </w:p>
    <w:p>
      <w:r>
        <w:t>In the final model, the one-month-lagged oil-volatility coefficient is +0.015053. Its conventional OLS p-value is 0.0909. With Gretl Newey–West HAC standard errors (Bartlett kernel, bandwidth 4), its standard error is 0.005223 and p-value is 0.0046. This supports a positive conditional association at the 5% level under this HAC specification, not a causal claim.</w:t>
      </w:r>
    </w:p>
    <w:p>
      <w:pPr>
        <w:pStyle w:val="Heading1"/>
      </w:pPr>
      <w:r>
        <w:t>5. Final Model Results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Variable</w:t>
            </w:r>
          </w:p>
        </w:tc>
        <w:tc>
          <w:tcPr>
            <w:tcW w:type="dxa" w:w="1987"/>
          </w:tcPr>
          <w:p>
            <w:r>
              <w:t>Coefficient</w:t>
            </w:r>
          </w:p>
        </w:tc>
        <w:tc>
          <w:tcPr>
            <w:tcW w:type="dxa" w:w="1987"/>
          </w:tcPr>
          <w:p>
            <w:r>
              <w:t>HAC Std. Error</w:t>
            </w:r>
          </w:p>
        </w:tc>
        <w:tc>
          <w:tcPr>
            <w:tcW w:type="dxa" w:w="1987"/>
          </w:tcPr>
          <w:p>
            <w:r>
              <w:t>HAC p-value</w:t>
            </w:r>
          </w:p>
        </w:tc>
        <w:tc>
          <w:tcPr>
            <w:tcW w:type="dxa" w:w="1987"/>
          </w:tcPr>
          <w:p>
            <w:r>
              <w:t>Interpretation</w:t>
            </w:r>
          </w:p>
        </w:tc>
      </w:tr>
      <w:tr>
        <w:tc>
          <w:tcPr>
            <w:tcW w:type="dxa" w:w="1987"/>
          </w:tcPr>
          <w:p>
            <w:r>
              <w:t>Constant</w:t>
            </w:r>
          </w:p>
        </w:tc>
        <w:tc>
          <w:tcPr>
            <w:tcW w:type="dxa" w:w="1987"/>
          </w:tcPr>
          <w:p>
            <w:r>
              <w:t>0.880365</w:t>
            </w:r>
          </w:p>
        </w:tc>
        <w:tc>
          <w:tcPr>
            <w:tcW w:type="dxa" w:w="1987"/>
          </w:tcPr>
          <w:p>
            <w:r>
              <w:t>0.308116</w:t>
            </w:r>
          </w:p>
        </w:tc>
        <w:tc>
          <w:tcPr>
            <w:tcW w:type="dxa" w:w="1987"/>
          </w:tcPr>
          <w:p>
            <w:r>
              <w:t>0.0050</w:t>
            </w:r>
          </w:p>
        </w:tc>
        <w:tc>
          <w:tcPr>
            <w:tcW w:type="dxa" w:w="1987"/>
          </w:tcPr>
          <w:p>
            <w:r>
              <w:t>Significant intercept</w:t>
            </w:r>
          </w:p>
        </w:tc>
      </w:tr>
      <w:tr>
        <w:tc>
          <w:tcPr>
            <w:tcW w:type="dxa" w:w="1987"/>
          </w:tcPr>
          <w:p>
            <w:r>
              <w:t>Inflation lag 1</w:t>
            </w:r>
          </w:p>
        </w:tc>
        <w:tc>
          <w:tcPr>
            <w:tcW w:type="dxa" w:w="1987"/>
          </w:tcPr>
          <w:p>
            <w:r>
              <w:t>1.08629</w:t>
            </w:r>
          </w:p>
        </w:tc>
        <w:tc>
          <w:tcPr>
            <w:tcW w:type="dxa" w:w="1987"/>
          </w:tcPr>
          <w:p>
            <w:r>
              <w:t>0.086113</w:t>
            </w:r>
          </w:p>
        </w:tc>
        <w:tc>
          <w:tcPr>
            <w:tcW w:type="dxa" w:w="1987"/>
          </w:tcPr>
          <w:p>
            <w:r>
              <w:t>&lt;0.001</w:t>
            </w:r>
          </w:p>
        </w:tc>
        <w:tc>
          <w:tcPr>
            <w:tcW w:type="dxa" w:w="1987"/>
          </w:tcPr>
          <w:p>
            <w:r>
              <w:t>Strong positive persistence</w:t>
            </w:r>
          </w:p>
        </w:tc>
      </w:tr>
      <w:tr>
        <w:tc>
          <w:tcPr>
            <w:tcW w:type="dxa" w:w="1987"/>
          </w:tcPr>
          <w:p>
            <w:r>
              <w:t>Inflation lag 2</w:t>
            </w:r>
          </w:p>
        </w:tc>
        <w:tc>
          <w:tcPr>
            <w:tcW w:type="dxa" w:w="1987"/>
          </w:tcPr>
          <w:p>
            <w:r>
              <w:t>−0.220535</w:t>
            </w:r>
          </w:p>
        </w:tc>
        <w:tc>
          <w:tcPr>
            <w:tcW w:type="dxa" w:w="1987"/>
          </w:tcPr>
          <w:p>
            <w:r>
              <w:t>0.085845</w:t>
            </w:r>
          </w:p>
        </w:tc>
        <w:tc>
          <w:tcPr>
            <w:tcW w:type="dxa" w:w="1987"/>
          </w:tcPr>
          <w:p>
            <w:r>
              <w:t>0.0114</w:t>
            </w:r>
          </w:p>
        </w:tc>
        <w:tc>
          <w:tcPr>
            <w:tcW w:type="dxa" w:w="1987"/>
          </w:tcPr>
          <w:p>
            <w:r>
              <w:t>Negative association</w:t>
            </w:r>
          </w:p>
        </w:tc>
      </w:tr>
      <w:tr>
        <w:tc>
          <w:tcPr>
            <w:tcW w:type="dxa" w:w="1987"/>
          </w:tcPr>
          <w:p>
            <w:r>
              <w:t>Inflation lag 12</w:t>
            </w:r>
          </w:p>
        </w:tc>
        <w:tc>
          <w:tcPr>
            <w:tcW w:type="dxa" w:w="1987"/>
          </w:tcPr>
          <w:p>
            <w:r>
              <w:t>−0.072007</w:t>
            </w:r>
          </w:p>
        </w:tc>
        <w:tc>
          <w:tcPr>
            <w:tcW w:type="dxa" w:w="1987"/>
          </w:tcPr>
          <w:p>
            <w:r>
              <w:t>0.037902</w:t>
            </w:r>
          </w:p>
        </w:tc>
        <w:tc>
          <w:tcPr>
            <w:tcW w:type="dxa" w:w="1987"/>
          </w:tcPr>
          <w:p>
            <w:r>
              <w:t>0.0597</w:t>
            </w:r>
          </w:p>
        </w:tc>
        <w:tc>
          <w:tcPr>
            <w:tcW w:type="dxa" w:w="1987"/>
          </w:tcPr>
          <w:p>
            <w:r>
              <w:t>Not significant at 5%</w:t>
            </w:r>
          </w:p>
        </w:tc>
      </w:tr>
      <w:tr>
        <w:tc>
          <w:tcPr>
            <w:tcW w:type="dxa" w:w="1987"/>
          </w:tcPr>
          <w:p>
            <w:r>
              <w:t>Oil volatility lag 1</w:t>
            </w:r>
          </w:p>
        </w:tc>
        <w:tc>
          <w:tcPr>
            <w:tcW w:type="dxa" w:w="1987"/>
          </w:tcPr>
          <w:p>
            <w:r>
              <w:t>0.015053</w:t>
            </w:r>
          </w:p>
        </w:tc>
        <w:tc>
          <w:tcPr>
            <w:tcW w:type="dxa" w:w="1987"/>
          </w:tcPr>
          <w:p>
            <w:r>
              <w:t>0.005223</w:t>
            </w:r>
          </w:p>
        </w:tc>
        <w:tc>
          <w:tcPr>
            <w:tcW w:type="dxa" w:w="1987"/>
          </w:tcPr>
          <w:p>
            <w:r>
              <w:t>0.0046</w:t>
            </w:r>
          </w:p>
        </w:tc>
        <w:tc>
          <w:tcPr>
            <w:tcW w:type="dxa" w:w="1987"/>
          </w:tcPr>
          <w:p>
            <w:r>
              <w:t>Positive; significant at 5%</w:t>
            </w:r>
          </w:p>
        </w:tc>
      </w:tr>
      <w:tr>
        <w:tc>
          <w:tcPr>
            <w:tcW w:type="dxa" w:w="1987"/>
          </w:tcPr>
          <w:p>
            <w:r>
              <w:t>USD/INR change</w:t>
            </w:r>
          </w:p>
        </w:tc>
        <w:tc>
          <w:tcPr>
            <w:tcW w:type="dxa" w:w="1987"/>
          </w:tcPr>
          <w:p>
            <w:r>
              <w:t>−0.017672</w:t>
            </w:r>
          </w:p>
        </w:tc>
        <w:tc>
          <w:tcPr>
            <w:tcW w:type="dxa" w:w="1987"/>
          </w:tcPr>
          <w:p>
            <w:r>
              <w:t>0.060050</w:t>
            </w:r>
          </w:p>
        </w:tc>
        <w:tc>
          <w:tcPr>
            <w:tcW w:type="dxa" w:w="1987"/>
          </w:tcPr>
          <w:p>
            <w:r>
              <w:t>0.7690</w:t>
            </w:r>
          </w:p>
        </w:tc>
        <w:tc>
          <w:tcPr>
            <w:tcW w:type="dxa" w:w="1987"/>
          </w:tcPr>
          <w:p>
            <w:r>
              <w:t>Not significant</w:t>
            </w:r>
          </w:p>
        </w:tc>
      </w:tr>
    </w:tbl>
    <w:p>
      <w:r>
        <w:t>Model fit: R² = 0.8144; adjusted R² = 0.8071; n = 132; AIC = 286.5968; BIC = 303.8936.</w:t>
      </w:r>
    </w:p>
    <w:p>
      <w:r>
        <w:t>Reported p-values are from Gretl OLS estimates with HAC standard errors (Bartlett kernel, bandwidth 4).</w:t>
      </w:r>
    </w:p>
    <w:p>
      <w:pPr>
        <w:pStyle w:val="Heading1"/>
      </w:pPr>
      <w:r>
        <w:t>6. Diagnostics and Limitations</w:t>
      </w:r>
    </w:p>
    <w:p>
      <w:r>
        <w:t>The White test for the final lagged-volatility model has p = 0.3187; it does not reject homoskedasticity at conventional levels. This is not proof that the variance is constant.</w:t>
      </w:r>
    </w:p>
    <w:p>
      <w:r>
        <w:t>The Breusch–Godfrey test up to order 12 rejects no residual autocorrelation (LM p = 0.0000728; F-test p = 0.000024). The Ljung–Box test is also strongly significant at lag 12. Serial dependence remains a material limitation even after HAC inference is used.</w:t>
      </w:r>
    </w:p>
    <w:p>
      <w:r>
        <w:t>The ADF result for CPI inflation is borderline and sensitive to lag specification. Structural changes, including the pandemic period and domestic fuel-pricing changes, may matter. Omitted variables include food prices, monetary policy, administered fuel-price changes, taxes, and supply shocks. The sample is relatively small for a dynamic monthly model.</w:t>
      </w:r>
    </w:p>
    <w:p>
      <w:r>
        <w:t>HAC is a partial correction for standard errors; it does not remove autocorrelation, fix omitted-variable bias, address endogeneity, or establish causality. Further work could consider a carefully specified ARDL/ARDL bounds approach if integration-order requirements are met, or a VAR/ARIMAX framework and robustness checks.</w:t>
      </w:r>
    </w:p>
    <w:p>
      <w:pPr>
        <w:pStyle w:val="Heading1"/>
      </w:pPr>
      <w:r>
        <w:t>7. Conclusion</w:t>
      </w:r>
    </w:p>
    <w:p>
      <w:r>
        <w:t>The evidence is mixed rather than definitive. Contemporaneous oil-price changes and contemporaneous oil volatility are not statistically significant in the tested models. The final model shows a positive association between one-month-lagged oil volatility and Indian CPI inflation using Newey–West HAC standard errors (coefficient = 0.0151; p = 0.0046).</w:t>
      </w:r>
    </w:p>
    <w:p>
      <w:r>
        <w:t>The appropriate conclusion is that the sample provides evidence consistent with a delayed positive association, conditional on the included variables. Because residual autocorrelation persists and relevant macroeconomic controls are omitted, the result should be treated as suggestive rather than causal or fully robust.</w:t>
      </w:r>
    </w:p>
    <w:p>
      <w:r>
        <w:t>The findings do not indicate that oil volatility is the dominant driver of Indian inflation. The timing and transmission of oil-market uncertainty merit further study in a richer model including domestic fuel pricing, food prices, and monetary-policy variables.</w:t>
      </w:r>
    </w:p>
    <w:p>
      <w:pPr>
        <w:pStyle w:val="Heading1"/>
      </w:pPr>
      <w:r>
        <w:t>References and Data Notes</w:t>
      </w:r>
    </w:p>
    <w:p>
      <w:r>
        <w:t>Data sources (official portals):</w:t>
      </w:r>
    </w:p>
    <w:p>
      <w:r>
        <w:t xml:space="preserve">1. Petroleum Planning &amp; Analysis Cell (PPAC), Indian Basket / International Prices of Crude Oil. </w:t>
      </w:r>
      <w:hyperlink r:id="rId9">
        <w:r>
          <w:rPr>
            <w:color w:val="0563C1"/>
            <w:u w:val="single"/>
          </w:rPr>
          <w:t>https://ppac.gov.in/index.php/prices/international-prices-of-crude-oil</w:t>
        </w:r>
      </w:hyperlink>
    </w:p>
    <w:p>
      <w:r>
        <w:t xml:space="preserve">2. Reserve Bank of India, Database on Indian Economy (DBIE), Consumer Price Index — Combined General Index (Base 2012 = 100). </w:t>
      </w:r>
      <w:hyperlink r:id="rId10">
        <w:r>
          <w:rPr>
            <w:color w:val="0563C1"/>
            <w:u w:val="single"/>
          </w:rPr>
          <w:t>https://dev.dbie.rbihub.in/prices?table=real_sector.r45_consumer_price_index</w:t>
        </w:r>
      </w:hyperlink>
    </w:p>
    <w:p>
      <w:r>
        <w:t xml:space="preserve">3. Reserve Bank of India, DBIE, Average forex rate (monthly), unit: Indian rupee; currency column: United States Dollar. This is the monthly-average USD/INR series (rupees per US dollar), not RBI's purchase/sale of foreign currency transactions. </w:t>
      </w:r>
      <w:hyperlink r:id="rId11">
        <w:r>
          <w:rPr>
            <w:color w:val="0563C1"/>
            <w:u w:val="single"/>
          </w:rPr>
          <w:t>https://dev.dbie.rbihub.in/statistics?table=financial_markets.avg_for_rat_rn</w:t>
        </w:r>
      </w:hyperlink>
    </w:p>
    <w:p>
      <w:r>
        <w:t>Series-selection note: select UNITED STATES DOLLAR in the Average forex rate table and verify that the unit is Indian rupee and the frequency is monthly. The portal's table title is “Average forex rate”; the series page reports a monthly frequency.</w:t>
      </w:r>
    </w:p>
    <w:p>
      <w:r>
        <w:t>Method reference: Newey, W. K., &amp; West, K. D. (1987). A Simple, Positive Semi-definite, Heteroskedasticity and Autocorrelation Consistent Covariance Matrix. Econometrica, 55(3), 703–708.</w:t>
      </w:r>
    </w:p>
    <w:p>
      <w:r>
        <w:t>Access date: 13 October 2026. Record the exact downloaded file names in the appendix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pac.gov.in/index.php/prices/international-prices-of-crude-oil" TargetMode="External"/><Relationship Id="rId10" Type="http://schemas.openxmlformats.org/officeDocument/2006/relationships/hyperlink" Target="https://dev.dbie.rbihub.in/prices?table=real_sector.r45_consumer_price_index" TargetMode="External"/><Relationship Id="rId11" Type="http://schemas.openxmlformats.org/officeDocument/2006/relationships/hyperlink" Target="https://dev.dbie.rbihub.in/statistics?table=financial_markets.avg_for_rat_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