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The Legacy Server Breach</w:t>
      </w:r>
    </w:p>
    <w:p>
      <w:pPr>
        <w:spacing w:after="200"/>
        <w:jc w:val="center"/>
      </w:pPr>
      <w:r>
        <w:rPr>
          <w:b/>
          <w:bCs/>
          <w:sz w:val="26"/>
          <w:szCs w:val="26"/>
        </w:rPr>
        <w:t xml:space="preserve">Incident Response &amp; Remediation — Tech Solutions Inc. SOC</w:t>
      </w:r>
    </w:p>
    <w:p>
      <w:pPr>
        <w:spacing w:after="300"/>
        <w:jc w:val="center"/>
      </w:pPr>
      <w:r>
        <w:rPr>
          <w:i/>
          <w:iCs/>
          <w:sz w:val="22"/>
          <w:szCs w:val="22"/>
        </w:rPr>
        <w:t xml:space="preserve">CAP 195 Capstone</w:t>
      </w:r>
    </w:p>
    <w:p>
      <w:pPr>
        <w:spacing w:after="40"/>
        <w:jc w:val="center"/>
      </w:pPr>
      <w:r>
        <w:rPr>
          <w:sz w:val="22"/>
          <w:szCs w:val="22"/>
        </w:rPr>
        <w:t xml:space="preserve">Parker Collins</w:t>
      </w:r>
    </w:p>
    <w:p>
      <w:pPr>
        <w:spacing w:after="40"/>
        <w:jc w:val="center"/>
      </w:pPr>
      <w:r>
        <w:rPr>
          <w:sz w:val="22"/>
          <w:szCs w:val="22"/>
        </w:rPr>
        <w:t xml:space="preserve">Ron Richardson</w:t>
      </w:r>
    </w:p>
    <w:p>
      <w:pPr>
        <w:spacing w:after="40"/>
        <w:jc w:val="center"/>
      </w:pPr>
      <w:r>
        <w:rPr>
          <w:sz w:val="22"/>
          <w:szCs w:val="22"/>
        </w:rPr>
        <w:t xml:space="preserve">Faith Telva</w:t>
      </w:r>
    </w:p>
    <w:p>
      <w:pPr>
        <w:spacing w:after="40"/>
        <w:jc w:val="center"/>
      </w:pPr>
      <w:r>
        <w:rPr>
          <w:sz w:val="22"/>
          <w:szCs w:val="22"/>
        </w:rPr>
        <w:t xml:space="preserve">Hossain Azim</w:t>
      </w:r>
    </w:p>
    <w:p>
      <w:pPr>
        <w:spacing w:after="400"/>
        <w:jc w:val="center"/>
      </w:pPr>
      <w:r>
        <w:rPr>
          <w:sz w:val="22"/>
          <w:szCs w:val="22"/>
        </w:rPr>
        <w:t xml:space="preserve">Michael Williams</w:t>
      </w:r>
    </w:p>
    <w:p>
      <w:r>
        <w:br w:type="page"/>
      </w:r>
    </w:p>
    <w:p>
      <w:pPr>
        <w:pStyle w:val="Heading1"/>
        <w:spacing w:after="140" w:before="320"/>
      </w:pPr>
      <w:r>
        <w:t xml:space="preserve">Contents</w:t>
      </w:r>
    </w:p>
    <w:p>
      <w:pPr>
        <w:spacing w:after="120"/>
      </w:pPr>
      <w:r>
        <w:rPr>
          <w:i/>
          <w:iCs/>
        </w:rPr>
        <w:t xml:space="preserve">1. Executive Summary</w:t>
      </w:r>
    </w:p>
    <w:p>
      <w:pPr>
        <w:spacing w:after="120"/>
      </w:pPr>
      <w:r>
        <w:rPr>
          <w:i/>
          <w:iCs/>
        </w:rPr>
        <w:t xml:space="preserve">2. Investigation Timeline</w:t>
      </w:r>
    </w:p>
    <w:p>
      <w:pPr>
        <w:spacing w:after="120"/>
      </w:pPr>
      <w:r>
        <w:rPr>
          <w:i/>
          <w:iCs/>
        </w:rPr>
        <w:t xml:space="preserve">3. Phase 1 — Prepare</w:t>
      </w:r>
    </w:p>
    <w:p>
      <w:pPr>
        <w:spacing w:after="120"/>
      </w:pPr>
      <w:r>
        <w:rPr>
          <w:i/>
          <w:iCs/>
        </w:rPr>
        <w:t xml:space="preserve">4. Phase 2 — Detect &amp; Analyze</w:t>
      </w:r>
    </w:p>
    <w:p>
      <w:pPr>
        <w:spacing w:after="120"/>
      </w:pPr>
      <w:r>
        <w:rPr>
          <w:i/>
          <w:iCs/>
        </w:rPr>
        <w:t xml:space="preserve">5. Phase 3 — Contain</w:t>
      </w:r>
    </w:p>
    <w:p>
      <w:pPr>
        <w:spacing w:after="120"/>
      </w:pPr>
      <w:r>
        <w:rPr>
          <w:i/>
          <w:iCs/>
        </w:rPr>
        <w:t xml:space="preserve">6. Phase 4 — Eradicate &amp; Recover</w:t>
      </w:r>
    </w:p>
    <w:p>
      <w:pPr>
        <w:spacing w:after="120"/>
      </w:pPr>
      <w:r>
        <w:rPr>
          <w:i/>
          <w:iCs/>
        </w:rPr>
        <w:t xml:space="preserve">7. Phase 5 — Report &amp; Present: Lessons Learned</w:t>
      </w:r>
    </w:p>
    <w:p>
      <w:pPr>
        <w:spacing w:after="120"/>
      </w:pPr>
      <w:r>
        <w:rPr>
          <w:i/>
          <w:iCs/>
        </w:rPr>
        <w:t xml:space="preserve">Appendix: Individual Evidence (A–E)</w:t>
      </w:r>
    </w:p>
    <w:p>
      <w:r>
        <w:br w:type="page"/>
      </w:r>
    </w:p>
    <w:p>
      <w:pPr>
        <w:pStyle w:val="Heading1"/>
        <w:spacing w:after="140" w:before="320"/>
      </w:pPr>
      <w:r>
        <w:t xml:space="preserve">1. Executive Summary</w:t>
      </w:r>
    </w:p>
    <w:p>
      <w:pPr>
        <w:spacing w:after="120"/>
      </w:pPr>
      <w:r>
        <w:t xml:space="preserve">On [date], the Network Operations Center detected anomalous outbound traffic from a legacy company server. A Security Operations response team investigated and confirmed the server had been compromised through multiple critical, unpatched vulnerabilities, including a backdoor that granted attackers complete administrative (root) control of the system.</w:t>
      </w:r>
    </w:p>
    <w:p>
      <w:pPr>
        <w:spacing w:after="120"/>
      </w:pPr>
      <w:r>
        <w:t xml:space="preserve">The team contained the threat without disrupting legitimate services, permanently removed the backdoor and the most severe vulnerabilities — including a second confirmed remote-code-execution flaw (distccd) — and hardened the server to reduce future risk. The system is now stable and every confirmed attacker access path is closed.</w:t>
      </w:r>
    </w:p>
    <w:p>
      <w:pPr>
        <w:spacing w:after="120"/>
      </w:pPr>
      <w:r>
        <w:rPr>
          <w:i/>
          <w:iCs/>
        </w:rPr>
        <w:t xml:space="preserve">Business impact: the exposed vulnerabilities gave an unauthenticated attacker the same level of control as a system administrator, with no password required. Left unaddressed, this represented direct risk of data loss or theft, disruption to a business-critical internal application, reputational damage if the compromise became public, and potential compliance/audit failure. Every entry point was closed at its source, independently re-verified, and is now checked automatically by a standing health-check script so any regression is caught immediately.</w:t>
      </w:r>
    </w:p>
    <w:p>
      <w:pPr>
        <w:shd w:fill="FFF2CC" w:color="auto" w:val="clear"/>
        <w:spacing w:after="160" w:before="60"/>
      </w:pPr>
      <w:r>
        <w:rPr>
          <w:i/>
          <w:iCs/>
          <w:color w:val="7F6000"/>
          <w:sz w:val="19"/>
          <w:szCs w:val="19"/>
        </w:rPr>
        <w:t xml:space="preserve">DRAFT — Parker/team: review and adjust this business-impact paragraph to match the team's own wording before final submission.</w:t>
      </w:r>
    </w:p>
    <w:p>
      <w:pPr>
        <w:spacing w:after="120"/>
      </w:pPr>
      <w:r>
        <w:rPr>
          <w:i/>
          <w:iCs/>
        </w:rPr>
        <w:t xml:space="preserve">Recommendation: this hardening is an effective interim control, but legacyserver remains an unpatchable legacy system by design. The team's top recommendation is to segment it further from the rest of the network and begin planning its decommission, migrating the business-critical application it hosts to a supported, patchable platform.</w:t>
      </w:r>
    </w:p>
    <w:p>
      <w:pPr>
        <w:shd w:fill="FFF2CC" w:color="auto" w:val="clear"/>
        <w:spacing w:after="160" w:before="60"/>
      </w:pPr>
      <w:r>
        <w:rPr>
          <w:i/>
          <w:iCs/>
          <w:color w:val="7F6000"/>
          <w:sz w:val="19"/>
          <w:szCs w:val="19"/>
        </w:rPr>
        <w:t xml:space="preserve">[date] and the two paragraphs above are marked DRAFT/placeholder — team to confirm the incident date and sign off on the wording before this goes to the instructor.</w:t>
      </w:r>
    </w:p>
    <w:p>
      <w:pPr>
        <w:pStyle w:val="Heading1"/>
        <w:spacing w:after="140" w:before="320"/>
      </w:pPr>
      <w:r>
        <w:t xml:space="preserve">2. Investigation Timeline</w:t>
      </w:r>
    </w:p>
    <w:p>
      <w:pPr>
        <w:spacing w:after="120"/>
      </w:pPr>
      <w:r>
        <w:t xml:space="preserve">Chronological record of the incident response, beginning with the initial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1F3864" w:color="auto" w:val="clear"/>
            <w:tcMar>
              <w:top w:type="dxa" w:w="60"/>
              <w:left w:type="dxa" w:w="90"/>
              <w:bottom w:type="dxa" w:w="60"/>
              <w:right w:type="dxa" w:w="90"/>
            </w:tcMar>
            <w:vAlign w:val="center"/>
          </w:tcPr>
          <w:p>
            <w:r>
              <w:rPr>
                <w:b/>
                <w:bCs/>
                <w:color w:val="FFFFFF"/>
                <w:sz w:val="18"/>
                <w:szCs w:val="18"/>
              </w:rPr>
              <w:t xml:space="preserve">Time / Date</w:t>
            </w:r>
          </w:p>
        </w:tc>
        <w:tc>
          <w:tcPr>
            <w:tcW w:type="dxa" w:w="7760"/>
            <w:shd w:fill="1F3864" w:color="auto" w:val="clear"/>
            <w:tcMar>
              <w:top w:type="dxa" w:w="60"/>
              <w:left w:type="dxa" w:w="90"/>
              <w:bottom w:type="dxa" w:w="60"/>
              <w:right w:type="dxa" w:w="90"/>
            </w:tcMar>
            <w:vAlign w:val="center"/>
          </w:tcPr>
          <w:p>
            <w:r>
              <w:rPr>
                <w:b/>
                <w:bCs/>
                <w:color w:val="FFFFFF"/>
                <w:sz w:val="18"/>
                <w:szCs w:val="18"/>
              </w:rPr>
              <w:t xml:space="preserve">Event</w:t>
            </w:r>
          </w:p>
        </w:tc>
      </w:tr>
      <w:tr>
        <w:tc>
          <w:tcPr>
            <w:tcW w:type="dxa" w:w="1600"/>
            <w:tcMar>
              <w:top w:type="dxa" w:w="60"/>
              <w:left w:type="dxa" w:w="90"/>
              <w:bottom w:type="dxa" w:w="60"/>
              <w:right w:type="dxa" w:w="90"/>
            </w:tcMar>
            <w:vAlign w:val="center"/>
          </w:tcPr>
          <w:p>
            <w:r>
              <w:rPr>
                <w:color w:val="000000"/>
                <w:sz w:val="18"/>
                <w:szCs w:val="18"/>
              </w:rPr>
              <w:t xml:space="preserve">Day 1, 08:00</w:t>
            </w:r>
          </w:p>
        </w:tc>
        <w:tc>
          <w:tcPr>
            <w:tcW w:type="dxa" w:w="7760"/>
            <w:tcMar>
              <w:top w:type="dxa" w:w="60"/>
              <w:left w:type="dxa" w:w="90"/>
              <w:bottom w:type="dxa" w:w="60"/>
              <w:right w:type="dxa" w:w="90"/>
            </w:tcMar>
            <w:vAlign w:val="center"/>
          </w:tcPr>
          <w:p>
            <w:r>
              <w:rPr>
                <w:color w:val="000000"/>
                <w:sz w:val="18"/>
                <w:szCs w:val="18"/>
              </w:rPr>
              <w:t xml:space="preserve">NOC alert: anomalous outbound traffic from legacyserver (192.168.2.3)</w:t>
            </w:r>
          </w:p>
        </w:tc>
      </w:tr>
      <w:tr>
        <w:tc>
          <w:tcPr>
            <w:tcW w:type="dxa" w:w="1600"/>
            <w:shd w:fill="DCE6F1" w:color="auto" w:val="clear"/>
            <w:tcMar>
              <w:top w:type="dxa" w:w="60"/>
              <w:left w:type="dxa" w:w="90"/>
              <w:bottom w:type="dxa" w:w="60"/>
              <w:right w:type="dxa" w:w="90"/>
            </w:tcMar>
            <w:vAlign w:val="center"/>
          </w:tcPr>
          <w:p>
            <w:r>
              <w:rPr>
                <w:color w:val="000000"/>
                <w:sz w:val="18"/>
                <w:szCs w:val="18"/>
              </w:rPr>
              <w:t xml:space="preserve">Day 1</w:t>
            </w:r>
          </w:p>
        </w:tc>
        <w:tc>
          <w:tcPr>
            <w:tcW w:type="dxa" w:w="7760"/>
            <w:shd w:fill="DCE6F1" w:color="auto" w:val="clear"/>
            <w:tcMar>
              <w:top w:type="dxa" w:w="60"/>
              <w:left w:type="dxa" w:w="90"/>
              <w:bottom w:type="dxa" w:w="60"/>
              <w:right w:type="dxa" w:w="90"/>
            </w:tcMar>
            <w:vAlign w:val="center"/>
          </w:tcPr>
          <w:p>
            <w:r>
              <w:rPr>
                <w:color w:val="000000"/>
                <w:sz w:val="18"/>
                <w:szCs w:val="18"/>
              </w:rPr>
              <w:t xml:space="preserve">Phase 1 — Prepare: isolated NAT Network lab built; connectivity and initial recon completed</w:t>
            </w:r>
          </w:p>
        </w:tc>
      </w:tr>
      <w:tr>
        <w:tc>
          <w:tcPr>
            <w:tcW w:type="dxa" w:w="1600"/>
            <w:tcMar>
              <w:top w:type="dxa" w:w="60"/>
              <w:left w:type="dxa" w:w="90"/>
              <w:bottom w:type="dxa" w:w="60"/>
              <w:right w:type="dxa" w:w="90"/>
            </w:tcMar>
            <w:vAlign w:val="center"/>
          </w:tcPr>
          <w:p>
            <w:r>
              <w:rPr>
                <w:color w:val="000000"/>
                <w:sz w:val="18"/>
                <w:szCs w:val="18"/>
              </w:rPr>
              <w:t xml:space="preserve">Day 2</w:t>
            </w:r>
          </w:p>
        </w:tc>
        <w:tc>
          <w:tcPr>
            <w:tcW w:type="dxa" w:w="7760"/>
            <w:tcMar>
              <w:top w:type="dxa" w:w="60"/>
              <w:left w:type="dxa" w:w="90"/>
              <w:bottom w:type="dxa" w:w="60"/>
              <w:right w:type="dxa" w:w="90"/>
            </w:tcMar>
            <w:vAlign w:val="center"/>
          </w:tcPr>
          <w:p>
            <w:r>
              <w:rPr>
                <w:color w:val="000000"/>
                <w:sz w:val="18"/>
                <w:szCs w:val="18"/>
              </w:rPr>
              <w:t xml:space="preserve">Phase 2 — Detect &amp; Analyze: deep vulnerability scan, AI threat profiling, NVD verification; spoofed FTP banner exposed via ftp-vsftpd-backdoor script (id returned uid=0 root)</w:t>
            </w:r>
          </w:p>
        </w:tc>
      </w:tr>
      <w:tr>
        <w:tc>
          <w:tcPr>
            <w:tcW w:type="dxa" w:w="1600"/>
            <w:shd w:fill="DCE6F1" w:color="auto" w:val="clear"/>
            <w:tcMar>
              <w:top w:type="dxa" w:w="60"/>
              <w:left w:type="dxa" w:w="90"/>
              <w:bottom w:type="dxa" w:w="60"/>
              <w:right w:type="dxa" w:w="90"/>
            </w:tcMar>
            <w:vAlign w:val="center"/>
          </w:tcPr>
          <w:p>
            <w:r>
              <w:rPr>
                <w:color w:val="000000"/>
                <w:sz w:val="18"/>
                <w:szCs w:val="18"/>
              </w:rPr>
              <w:t xml:space="preserve">Day 3</w:t>
            </w:r>
          </w:p>
        </w:tc>
        <w:tc>
          <w:tcPr>
            <w:tcW w:type="dxa" w:w="7760"/>
            <w:shd w:fill="DCE6F1" w:color="auto" w:val="clear"/>
            <w:tcMar>
              <w:top w:type="dxa" w:w="60"/>
              <w:left w:type="dxa" w:w="90"/>
              <w:bottom w:type="dxa" w:w="60"/>
              <w:right w:type="dxa" w:w="90"/>
            </w:tcMar>
            <w:vAlign w:val="center"/>
          </w:tcPr>
          <w:p>
            <w:r>
              <w:rPr>
                <w:color w:val="000000"/>
                <w:sz w:val="18"/>
                <w:szCs w:val="18"/>
              </w:rPr>
              <w:t xml:space="preserve">Phase 3 — Contain: volatile evidence preserved to /tmp/evidence; surgical firewall containment; verified from Analyst VM</w:t>
            </w:r>
          </w:p>
        </w:tc>
      </w:tr>
      <w:tr>
        <w:tc>
          <w:tcPr>
            <w:tcW w:type="dxa" w:w="1600"/>
            <w:tcMar>
              <w:top w:type="dxa" w:w="60"/>
              <w:left w:type="dxa" w:w="90"/>
              <w:bottom w:type="dxa" w:w="60"/>
              <w:right w:type="dxa" w:w="90"/>
            </w:tcMar>
            <w:vAlign w:val="center"/>
          </w:tcPr>
          <w:p>
            <w:r>
              <w:rPr>
                <w:color w:val="000000"/>
                <w:sz w:val="18"/>
                <w:szCs w:val="18"/>
              </w:rPr>
              <w:t xml:space="preserve">Day 4</w:t>
            </w:r>
          </w:p>
        </w:tc>
        <w:tc>
          <w:tcPr>
            <w:tcW w:type="dxa" w:w="7760"/>
            <w:tcMar>
              <w:top w:type="dxa" w:w="60"/>
              <w:left w:type="dxa" w:w="90"/>
              <w:bottom w:type="dxa" w:w="60"/>
              <w:right w:type="dxa" w:w="90"/>
            </w:tcMar>
            <w:vAlign w:val="center"/>
          </w:tcPr>
          <w:p>
            <w:r>
              <w:rPr>
                <w:color w:val="000000"/>
                <w:sz w:val="18"/>
                <w:szCs w:val="18"/>
              </w:rPr>
              <w:t xml:space="preserve">Phase 4 — Eradicate &amp; Recover: permanent removal of vsftpd backdoor, Ingreslock entry, and distccd; hardened four additional services; reboot-persistence verified; automated health check run (SECURE)</w:t>
            </w:r>
          </w:p>
        </w:tc>
      </w:tr>
      <w:tr>
        <w:tc>
          <w:tcPr>
            <w:tcW w:type="dxa" w:w="1600"/>
            <w:shd w:fill="DCE6F1" w:color="auto" w:val="clear"/>
            <w:tcMar>
              <w:top w:type="dxa" w:w="60"/>
              <w:left w:type="dxa" w:w="90"/>
              <w:bottom w:type="dxa" w:w="60"/>
              <w:right w:type="dxa" w:w="90"/>
            </w:tcMar>
            <w:vAlign w:val="center"/>
          </w:tcPr>
          <w:p>
            <w:r>
              <w:rPr>
                <w:color w:val="000000"/>
                <w:sz w:val="18"/>
                <w:szCs w:val="18"/>
              </w:rPr>
              <w:t xml:space="preserve">[date]</w:t>
            </w:r>
          </w:p>
        </w:tc>
        <w:tc>
          <w:tcPr>
            <w:tcW w:type="dxa" w:w="7760"/>
            <w:shd w:fill="DCE6F1" w:color="auto" w:val="clear"/>
            <w:tcMar>
              <w:top w:type="dxa" w:w="60"/>
              <w:left w:type="dxa" w:w="90"/>
              <w:bottom w:type="dxa" w:w="60"/>
              <w:right w:type="dxa" w:w="90"/>
            </w:tcMar>
            <w:vAlign w:val="center"/>
          </w:tcPr>
          <w:p>
            <w:r>
              <w:rPr>
                <w:color w:val="000000"/>
                <w:sz w:val="18"/>
                <w:szCs w:val="18"/>
              </w:rPr>
              <w:t xml:space="preserve">[ Team: confirm your actual session dates/times for the final submission ]</w:t>
            </w:r>
          </w:p>
        </w:tc>
      </w:tr>
    </w:tbl>
    <w:p>
      <w:pPr>
        <w:spacing w:after="160"/>
      </w:pPr>
    </w:p>
    <w:p>
      <w:pPr>
        <w:pStyle w:val="Heading1"/>
        <w:spacing w:after="140" w:before="320"/>
      </w:pPr>
      <w:r>
        <w:t xml:space="preserve">3. Phase 1 — Prepare</w:t>
      </w:r>
    </w:p>
    <w:p>
      <w:pPr>
        <w:spacing w:after="120"/>
      </w:pPr>
      <w:r>
        <w:t xml:space="preserve">Each team member independently built an isolated VirtualBox lab (NAT Network "CapstoneNAT") per the Individual Lab Mandate, confirmed connectivity to the target (legacyserver, 192.168.2.3) from their own Analyst VM (Kali, 192.168.2.4), and ran an initial full-port service/version scan (nmap -sV -p-).</w:t>
      </w:r>
    </w:p>
    <w:p>
      <w:pPr>
        <w:spacing w:after="120"/>
      </w:pPr>
      <w:r>
        <w:t xml:space="preserve">This initial recon is what first surfaced the scale of the exposure: legacyserver returned roughly 30 open ports with identifiable service versions, and nmap itself flagged port 1524/tcp as an active, unauthenticated root backdoor (bindshell) before any deliberate vulnerability testing had even begun — the clearest possible signal that deeper investigation (Phase 2) was warranted immediately.</w:t>
      </w:r>
    </w:p>
    <w:p>
      <w:pPr>
        <w:spacing w:after="120"/>
      </w:pPr>
      <w:r>
        <w:t xml:space="preserve">Each member's own connectivity test and initial scan screenshots are in their Appendix (Fig 1–2).</w:t>
      </w:r>
    </w:p>
    <w:p>
      <w:pPr>
        <w:pStyle w:val="Heading1"/>
        <w:spacing w:after="140" w:before="320"/>
      </w:pPr>
      <w:r>
        <w:t xml:space="preserve">4. Phase 2 — Detect &amp; Analyze</w:t>
      </w:r>
    </w:p>
    <w:p>
      <w:pPr>
        <w:spacing w:after="120"/>
      </w:pPr>
      <w:r>
        <w:t xml:space="preserve">This section documents the vulnerabilities identified and verified following the initial recon. Each CVE was confirmed against the National Vulnerability Database (NVD); the vsftpd finding was confirmed by active exploitation.</w:t>
      </w:r>
    </w:p>
    <w:p>
      <w:pPr>
        <w:pStyle w:val="Heading2"/>
        <w:spacing w:after="100" w:before="220"/>
      </w:pPr>
      <w:r>
        <w:t xml:space="preserve">4.1 Confirmed Vulnerability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500"/>
        <w:gridCol w:w="1400"/>
        <w:gridCol w:w="1500"/>
        <w:gridCol w:w="2560"/>
      </w:tblGrid>
      <w:tr>
        <w:tc>
          <w:tcPr>
            <w:tcW w:type="dxa" w:w="1700"/>
            <w:shd w:fill="1F3864" w:color="auto" w:val="clear"/>
            <w:tcMar>
              <w:top w:type="dxa" w:w="60"/>
              <w:left w:type="dxa" w:w="90"/>
              <w:bottom w:type="dxa" w:w="60"/>
              <w:right w:type="dxa" w:w="90"/>
            </w:tcMar>
            <w:vAlign w:val="center"/>
          </w:tcPr>
          <w:p>
            <w:r>
              <w:rPr>
                <w:b/>
                <w:bCs/>
                <w:color w:val="FFFFFF"/>
                <w:sz w:val="18"/>
                <w:szCs w:val="18"/>
              </w:rPr>
              <w:t xml:space="preserve">Service</w:t>
            </w:r>
          </w:p>
        </w:tc>
        <w:tc>
          <w:tcPr>
            <w:tcW w:type="dxa" w:w="700"/>
            <w:shd w:fill="1F3864" w:color="auto" w:val="clear"/>
            <w:tcMar>
              <w:top w:type="dxa" w:w="60"/>
              <w:left w:type="dxa" w:w="90"/>
              <w:bottom w:type="dxa" w:w="60"/>
              <w:right w:type="dxa" w:w="90"/>
            </w:tcMar>
            <w:vAlign w:val="center"/>
          </w:tcPr>
          <w:p>
            <w:r>
              <w:rPr>
                <w:b/>
                <w:bCs/>
                <w:color w:val="FFFFFF"/>
                <w:sz w:val="18"/>
                <w:szCs w:val="18"/>
              </w:rPr>
              <w:t xml:space="preserve">Port</w:t>
            </w:r>
          </w:p>
        </w:tc>
        <w:tc>
          <w:tcPr>
            <w:tcW w:type="dxa" w:w="1500"/>
            <w:shd w:fill="1F3864" w:color="auto" w:val="clear"/>
            <w:tcMar>
              <w:top w:type="dxa" w:w="60"/>
              <w:left w:type="dxa" w:w="90"/>
              <w:bottom w:type="dxa" w:w="60"/>
              <w:right w:type="dxa" w:w="90"/>
            </w:tcMar>
            <w:vAlign w:val="center"/>
          </w:tcPr>
          <w:p>
            <w:r>
              <w:rPr>
                <w:b/>
                <w:bCs/>
                <w:color w:val="FFFFFF"/>
                <w:sz w:val="18"/>
                <w:szCs w:val="18"/>
              </w:rPr>
              <w:t xml:space="preserve">CVE</w:t>
            </w:r>
          </w:p>
        </w:tc>
        <w:tc>
          <w:tcPr>
            <w:tcW w:type="dxa" w:w="1400"/>
            <w:shd w:fill="1F3864" w:color="auto" w:val="clear"/>
            <w:tcMar>
              <w:top w:type="dxa" w:w="60"/>
              <w:left w:type="dxa" w:w="90"/>
              <w:bottom w:type="dxa" w:w="60"/>
              <w:right w:type="dxa" w:w="90"/>
            </w:tcMar>
            <w:vAlign w:val="center"/>
          </w:tcPr>
          <w:p>
            <w:r>
              <w:rPr>
                <w:b/>
                <w:bCs/>
                <w:color w:val="FFFFFF"/>
                <w:sz w:val="18"/>
                <w:szCs w:val="18"/>
              </w:rPr>
              <w:t xml:space="preserve">CVSS</w:t>
            </w:r>
          </w:p>
        </w:tc>
        <w:tc>
          <w:tcPr>
            <w:tcW w:type="dxa" w:w="1500"/>
            <w:shd w:fill="1F3864" w:color="auto" w:val="clear"/>
            <w:tcMar>
              <w:top w:type="dxa" w:w="60"/>
              <w:left w:type="dxa" w:w="90"/>
              <w:bottom w:type="dxa" w:w="60"/>
              <w:right w:type="dxa" w:w="90"/>
            </w:tcMar>
            <w:vAlign w:val="center"/>
          </w:tcPr>
          <w:p>
            <w:r>
              <w:rPr>
                <w:b/>
                <w:bCs/>
                <w:color w:val="FFFFFF"/>
                <w:sz w:val="18"/>
                <w:szCs w:val="18"/>
              </w:rPr>
              <w:t xml:space="preserve">Status</w:t>
            </w:r>
          </w:p>
        </w:tc>
        <w:tc>
          <w:tcPr>
            <w:tcW w:type="dxa" w:w="2560"/>
            <w:shd w:fill="1F3864" w:color="auto" w:val="clear"/>
            <w:tcMar>
              <w:top w:type="dxa" w:w="60"/>
              <w:left w:type="dxa" w:w="90"/>
              <w:bottom w:type="dxa" w:w="60"/>
              <w:right w:type="dxa" w:w="90"/>
            </w:tcMar>
            <w:vAlign w:val="center"/>
          </w:tcPr>
          <w:p>
            <w:r>
              <w:rPr>
                <w:b/>
                <w:bCs/>
                <w:color w:val="FFFFFF"/>
                <w:sz w:val="18"/>
                <w:szCs w:val="18"/>
              </w:rPr>
              <w:t xml:space="preserve">Remediation</w:t>
            </w:r>
          </w:p>
        </w:tc>
      </w:tr>
      <w:tr>
        <w:tc>
          <w:tcPr>
            <w:tcW w:type="dxa" w:w="1700"/>
            <w:tcMar>
              <w:top w:type="dxa" w:w="60"/>
              <w:left w:type="dxa" w:w="90"/>
              <w:bottom w:type="dxa" w:w="60"/>
              <w:right w:type="dxa" w:w="90"/>
            </w:tcMar>
            <w:vAlign w:val="center"/>
          </w:tcPr>
          <w:p>
            <w:r>
              <w:rPr>
                <w:color w:val="000000"/>
                <w:sz w:val="18"/>
                <w:szCs w:val="18"/>
              </w:rPr>
              <w:t xml:space="preserve">vsftpd 2.3.4 (banner spoofed 2.0.8)</w:t>
            </w:r>
          </w:p>
        </w:tc>
        <w:tc>
          <w:tcPr>
            <w:tcW w:type="dxa" w:w="700"/>
            <w:tcMar>
              <w:top w:type="dxa" w:w="60"/>
              <w:left w:type="dxa" w:w="90"/>
              <w:bottom w:type="dxa" w:w="60"/>
              <w:right w:type="dxa" w:w="90"/>
            </w:tcMar>
            <w:vAlign w:val="center"/>
          </w:tcPr>
          <w:p>
            <w:r>
              <w:rPr>
                <w:color w:val="000000"/>
                <w:sz w:val="18"/>
                <w:szCs w:val="18"/>
              </w:rPr>
              <w:t xml:space="preserve">21</w:t>
            </w:r>
          </w:p>
        </w:tc>
        <w:tc>
          <w:tcPr>
            <w:tcW w:type="dxa" w:w="1500"/>
            <w:tcMar>
              <w:top w:type="dxa" w:w="60"/>
              <w:left w:type="dxa" w:w="90"/>
              <w:bottom w:type="dxa" w:w="60"/>
              <w:right w:type="dxa" w:w="90"/>
            </w:tcMar>
            <w:vAlign w:val="center"/>
          </w:tcPr>
          <w:p>
            <w:r>
              <w:rPr>
                <w:color w:val="000000"/>
                <w:sz w:val="18"/>
                <w:szCs w:val="18"/>
              </w:rPr>
              <w:t xml:space="preserve">CVE-2011-2523</w:t>
            </w:r>
          </w:p>
        </w:tc>
        <w:tc>
          <w:tcPr>
            <w:tcW w:type="dxa" w:w="1400"/>
            <w:tcMar>
              <w:top w:type="dxa" w:w="60"/>
              <w:left w:type="dxa" w:w="90"/>
              <w:bottom w:type="dxa" w:w="60"/>
              <w:right w:type="dxa" w:w="90"/>
            </w:tcMar>
            <w:vAlign w:val="center"/>
          </w:tcPr>
          <w:p>
            <w:r>
              <w:rPr>
                <w:color w:val="000000"/>
                <w:sz w:val="18"/>
                <w:szCs w:val="18"/>
              </w:rPr>
              <w:t xml:space="preserve">10.0 / 9.8</w:t>
            </w:r>
          </w:p>
        </w:tc>
        <w:tc>
          <w:tcPr>
            <w:tcW w:type="dxa" w:w="1500"/>
            <w:tcMar>
              <w:top w:type="dxa" w:w="60"/>
              <w:left w:type="dxa" w:w="90"/>
              <w:bottom w:type="dxa" w:w="60"/>
              <w:right w:type="dxa" w:w="90"/>
            </w:tcMar>
            <w:vAlign w:val="center"/>
          </w:tcPr>
          <w:p>
            <w:r>
              <w:rPr>
                <w:color w:val="000000"/>
                <w:sz w:val="18"/>
                <w:szCs w:val="18"/>
              </w:rPr>
              <w:t xml:space="preserve">Confirmed (exploited)</w:t>
            </w:r>
          </w:p>
        </w:tc>
        <w:tc>
          <w:tcPr>
            <w:tcW w:type="dxa" w:w="2560"/>
            <w:tcMar>
              <w:top w:type="dxa" w:w="60"/>
              <w:left w:type="dxa" w:w="90"/>
              <w:bottom w:type="dxa" w:w="60"/>
              <w:right w:type="dxa" w:w="90"/>
            </w:tcMar>
            <w:vAlign w:val="center"/>
          </w:tcPr>
          <w:p>
            <w:r>
              <w:rPr>
                <w:color w:val="000000"/>
                <w:sz w:val="18"/>
                <w:szCs w:val="18"/>
              </w:rPr>
              <w:t xml:space="preserve">Uninstall/replace vsftpd; backdoored binary, cannot patch</w:t>
            </w:r>
          </w:p>
        </w:tc>
      </w:tr>
      <w:tr>
        <w:tc>
          <w:tcPr>
            <w:tcW w:type="dxa" w:w="1700"/>
            <w:shd w:fill="DCE6F1" w:color="auto" w:val="clear"/>
            <w:tcMar>
              <w:top w:type="dxa" w:w="60"/>
              <w:left w:type="dxa" w:w="90"/>
              <w:bottom w:type="dxa" w:w="60"/>
              <w:right w:type="dxa" w:w="90"/>
            </w:tcMar>
            <w:vAlign w:val="center"/>
          </w:tcPr>
          <w:p>
            <w:r>
              <w:rPr>
                <w:color w:val="000000"/>
                <w:sz w:val="18"/>
                <w:szCs w:val="18"/>
              </w:rPr>
              <w:t xml:space="preserve">UnrealIRCd</w:t>
            </w:r>
          </w:p>
        </w:tc>
        <w:tc>
          <w:tcPr>
            <w:tcW w:type="dxa" w:w="700"/>
            <w:shd w:fill="DCE6F1" w:color="auto" w:val="clear"/>
            <w:tcMar>
              <w:top w:type="dxa" w:w="60"/>
              <w:left w:type="dxa" w:w="90"/>
              <w:bottom w:type="dxa" w:w="60"/>
              <w:right w:type="dxa" w:w="90"/>
            </w:tcMar>
            <w:vAlign w:val="center"/>
          </w:tcPr>
          <w:p>
            <w:r>
              <w:rPr>
                <w:color w:val="000000"/>
                <w:sz w:val="18"/>
                <w:szCs w:val="18"/>
              </w:rPr>
              <w:t xml:space="preserve">6667</w:t>
            </w:r>
          </w:p>
        </w:tc>
        <w:tc>
          <w:tcPr>
            <w:tcW w:type="dxa" w:w="1500"/>
            <w:shd w:fill="DCE6F1" w:color="auto" w:val="clear"/>
            <w:tcMar>
              <w:top w:type="dxa" w:w="60"/>
              <w:left w:type="dxa" w:w="90"/>
              <w:bottom w:type="dxa" w:w="60"/>
              <w:right w:type="dxa" w:w="90"/>
            </w:tcMar>
            <w:vAlign w:val="center"/>
          </w:tcPr>
          <w:p>
            <w:r>
              <w:rPr>
                <w:color w:val="000000"/>
                <w:sz w:val="18"/>
                <w:szCs w:val="18"/>
              </w:rPr>
              <w:t xml:space="preserve">CVE-2010-2075</w:t>
            </w:r>
          </w:p>
        </w:tc>
        <w:tc>
          <w:tcPr>
            <w:tcW w:type="dxa" w:w="1400"/>
            <w:shd w:fill="DCE6F1" w:color="auto" w:val="clear"/>
            <w:tcMar>
              <w:top w:type="dxa" w:w="60"/>
              <w:left w:type="dxa" w:w="90"/>
              <w:bottom w:type="dxa" w:w="60"/>
              <w:right w:type="dxa" w:w="90"/>
            </w:tcMar>
            <w:vAlign w:val="center"/>
          </w:tcPr>
          <w:p>
            <w:r>
              <w:rPr>
                <w:color w:val="000000"/>
                <w:sz w:val="18"/>
                <w:szCs w:val="18"/>
              </w:rPr>
              <w:t xml:space="preserve">7.5 / 9.8</w:t>
            </w:r>
          </w:p>
        </w:tc>
        <w:tc>
          <w:tcPr>
            <w:tcW w:type="dxa" w:w="1500"/>
            <w:shd w:fill="DCE6F1" w:color="auto" w:val="clear"/>
            <w:tcMar>
              <w:top w:type="dxa" w:w="60"/>
              <w:left w:type="dxa" w:w="90"/>
              <w:bottom w:type="dxa" w:w="60"/>
              <w:right w:type="dxa" w:w="90"/>
            </w:tcMar>
            <w:vAlign w:val="center"/>
          </w:tcPr>
          <w:p>
            <w:r>
              <w:rPr>
                <w:color w:val="000000"/>
                <w:sz w:val="18"/>
                <w:szCs w:val="18"/>
              </w:rPr>
              <w:t xml:space="preserve">Confirmed</w:t>
            </w:r>
          </w:p>
        </w:tc>
        <w:tc>
          <w:tcPr>
            <w:tcW w:type="dxa" w:w="2560"/>
            <w:shd w:fill="DCE6F1" w:color="auto" w:val="clear"/>
            <w:tcMar>
              <w:top w:type="dxa" w:w="60"/>
              <w:left w:type="dxa" w:w="90"/>
              <w:bottom w:type="dxa" w:w="60"/>
              <w:right w:type="dxa" w:w="90"/>
            </w:tcMar>
            <w:vAlign w:val="center"/>
          </w:tcPr>
          <w:p>
            <w:r>
              <w:rPr>
                <w:color w:val="000000"/>
                <w:sz w:val="18"/>
                <w:szCs w:val="18"/>
              </w:rPr>
              <w:t xml:space="preserve">Reinstall from checksum-verified source</w:t>
            </w:r>
          </w:p>
        </w:tc>
      </w:tr>
      <w:tr>
        <w:tc>
          <w:tcPr>
            <w:tcW w:type="dxa" w:w="1700"/>
            <w:tcMar>
              <w:top w:type="dxa" w:w="60"/>
              <w:left w:type="dxa" w:w="90"/>
              <w:bottom w:type="dxa" w:w="60"/>
              <w:right w:type="dxa" w:w="90"/>
            </w:tcMar>
            <w:vAlign w:val="center"/>
          </w:tcPr>
          <w:p>
            <w:r>
              <w:rPr>
                <w:color w:val="000000"/>
                <w:sz w:val="18"/>
                <w:szCs w:val="18"/>
              </w:rPr>
              <w:t xml:space="preserve">Samba smbd</w:t>
            </w:r>
          </w:p>
        </w:tc>
        <w:tc>
          <w:tcPr>
            <w:tcW w:type="dxa" w:w="700"/>
            <w:tcMar>
              <w:top w:type="dxa" w:w="60"/>
              <w:left w:type="dxa" w:w="90"/>
              <w:bottom w:type="dxa" w:w="60"/>
              <w:right w:type="dxa" w:w="90"/>
            </w:tcMar>
            <w:vAlign w:val="center"/>
          </w:tcPr>
          <w:p>
            <w:r>
              <w:rPr>
                <w:color w:val="000000"/>
                <w:sz w:val="18"/>
                <w:szCs w:val="18"/>
              </w:rPr>
              <w:t xml:space="preserve">139, 445</w:t>
            </w:r>
          </w:p>
        </w:tc>
        <w:tc>
          <w:tcPr>
            <w:tcW w:type="dxa" w:w="1500"/>
            <w:tcMar>
              <w:top w:type="dxa" w:w="60"/>
              <w:left w:type="dxa" w:w="90"/>
              <w:bottom w:type="dxa" w:w="60"/>
              <w:right w:type="dxa" w:w="90"/>
            </w:tcMar>
            <w:vAlign w:val="center"/>
          </w:tcPr>
          <w:p>
            <w:r>
              <w:rPr>
                <w:color w:val="000000"/>
                <w:sz w:val="18"/>
                <w:szCs w:val="18"/>
              </w:rPr>
              <w:t xml:space="preserve">CVE-2007-2447</w:t>
            </w:r>
          </w:p>
        </w:tc>
        <w:tc>
          <w:tcPr>
            <w:tcW w:type="dxa" w:w="1400"/>
            <w:tcMar>
              <w:top w:type="dxa" w:w="60"/>
              <w:left w:type="dxa" w:w="90"/>
              <w:bottom w:type="dxa" w:w="60"/>
              <w:right w:type="dxa" w:w="90"/>
            </w:tcMar>
            <w:vAlign w:val="center"/>
          </w:tcPr>
          <w:p>
            <w:r>
              <w:rPr>
                <w:color w:val="000000"/>
                <w:sz w:val="18"/>
                <w:szCs w:val="18"/>
              </w:rPr>
              <w:t xml:space="preserve">6.0 / 8.8</w:t>
            </w:r>
          </w:p>
        </w:tc>
        <w:tc>
          <w:tcPr>
            <w:tcW w:type="dxa" w:w="1500"/>
            <w:tcMar>
              <w:top w:type="dxa" w:w="60"/>
              <w:left w:type="dxa" w:w="90"/>
              <w:bottom w:type="dxa" w:w="60"/>
              <w:right w:type="dxa" w:w="90"/>
            </w:tcMar>
            <w:vAlign w:val="center"/>
          </w:tcPr>
          <w:p>
            <w:r>
              <w:rPr>
                <w:color w:val="000000"/>
                <w:sz w:val="18"/>
                <w:szCs w:val="18"/>
              </w:rPr>
              <w:t xml:space="preserve">Confirmed</w:t>
            </w:r>
          </w:p>
        </w:tc>
        <w:tc>
          <w:tcPr>
            <w:tcW w:type="dxa" w:w="2560"/>
            <w:tcMar>
              <w:top w:type="dxa" w:w="60"/>
              <w:left w:type="dxa" w:w="90"/>
              <w:bottom w:type="dxa" w:w="60"/>
              <w:right w:type="dxa" w:w="90"/>
            </w:tcMar>
            <w:vAlign w:val="center"/>
          </w:tcPr>
          <w:p>
            <w:r>
              <w:rPr>
                <w:color w:val="000000"/>
                <w:sz w:val="18"/>
                <w:szCs w:val="18"/>
              </w:rPr>
              <w:t xml:space="preserve">Disable username map script; upgrade past 3.0.25rc3</w:t>
            </w:r>
          </w:p>
        </w:tc>
      </w:tr>
      <w:tr>
        <w:tc>
          <w:tcPr>
            <w:tcW w:type="dxa" w:w="1700"/>
            <w:shd w:fill="DCE6F1" w:color="auto" w:val="clear"/>
            <w:tcMar>
              <w:top w:type="dxa" w:w="60"/>
              <w:left w:type="dxa" w:w="90"/>
              <w:bottom w:type="dxa" w:w="60"/>
              <w:right w:type="dxa" w:w="90"/>
            </w:tcMar>
            <w:vAlign w:val="center"/>
          </w:tcPr>
          <w:p>
            <w:r>
              <w:rPr>
                <w:color w:val="000000"/>
                <w:sz w:val="18"/>
                <w:szCs w:val="18"/>
              </w:rPr>
              <w:t xml:space="preserve">distccd</w:t>
            </w:r>
          </w:p>
        </w:tc>
        <w:tc>
          <w:tcPr>
            <w:tcW w:type="dxa" w:w="700"/>
            <w:shd w:fill="DCE6F1" w:color="auto" w:val="clear"/>
            <w:tcMar>
              <w:top w:type="dxa" w:w="60"/>
              <w:left w:type="dxa" w:w="90"/>
              <w:bottom w:type="dxa" w:w="60"/>
              <w:right w:type="dxa" w:w="90"/>
            </w:tcMar>
            <w:vAlign w:val="center"/>
          </w:tcPr>
          <w:p>
            <w:r>
              <w:rPr>
                <w:color w:val="000000"/>
                <w:sz w:val="18"/>
                <w:szCs w:val="18"/>
              </w:rPr>
              <w:t xml:space="preserve">3632</w:t>
            </w:r>
          </w:p>
        </w:tc>
        <w:tc>
          <w:tcPr>
            <w:tcW w:type="dxa" w:w="1500"/>
            <w:shd w:fill="DCE6F1" w:color="auto" w:val="clear"/>
            <w:tcMar>
              <w:top w:type="dxa" w:w="60"/>
              <w:left w:type="dxa" w:w="90"/>
              <w:bottom w:type="dxa" w:w="60"/>
              <w:right w:type="dxa" w:w="90"/>
            </w:tcMar>
            <w:vAlign w:val="center"/>
          </w:tcPr>
          <w:p>
            <w:r>
              <w:rPr>
                <w:color w:val="000000"/>
                <w:sz w:val="18"/>
                <w:szCs w:val="18"/>
              </w:rPr>
              <w:t xml:space="preserve">CVE-2004-2687</w:t>
            </w:r>
          </w:p>
        </w:tc>
        <w:tc>
          <w:tcPr>
            <w:tcW w:type="dxa" w:w="1400"/>
            <w:shd w:fill="DCE6F1" w:color="auto" w:val="clear"/>
            <w:tcMar>
              <w:top w:type="dxa" w:w="60"/>
              <w:left w:type="dxa" w:w="90"/>
              <w:bottom w:type="dxa" w:w="60"/>
              <w:right w:type="dxa" w:w="90"/>
            </w:tcMar>
            <w:vAlign w:val="center"/>
          </w:tcPr>
          <w:p>
            <w:r>
              <w:rPr>
                <w:color w:val="000000"/>
                <w:sz w:val="18"/>
                <w:szCs w:val="18"/>
              </w:rPr>
              <w:t xml:space="preserve">9.3</w:t>
            </w:r>
          </w:p>
        </w:tc>
        <w:tc>
          <w:tcPr>
            <w:tcW w:type="dxa" w:w="1500"/>
            <w:shd w:fill="DCE6F1" w:color="auto" w:val="clear"/>
            <w:tcMar>
              <w:top w:type="dxa" w:w="60"/>
              <w:left w:type="dxa" w:w="90"/>
              <w:bottom w:type="dxa" w:w="60"/>
              <w:right w:type="dxa" w:w="90"/>
            </w:tcMar>
            <w:vAlign w:val="center"/>
          </w:tcPr>
          <w:p>
            <w:r>
              <w:rPr>
                <w:color w:val="000000"/>
                <w:sz w:val="18"/>
                <w:szCs w:val="18"/>
              </w:rPr>
              <w:t xml:space="preserve">Confirmed</w:t>
            </w:r>
          </w:p>
        </w:tc>
        <w:tc>
          <w:tcPr>
            <w:tcW w:type="dxa" w:w="2560"/>
            <w:shd w:fill="DCE6F1" w:color="auto" w:val="clear"/>
            <w:tcMar>
              <w:top w:type="dxa" w:w="60"/>
              <w:left w:type="dxa" w:w="90"/>
              <w:bottom w:type="dxa" w:w="60"/>
              <w:right w:type="dxa" w:w="90"/>
            </w:tcMar>
            <w:vAlign w:val="center"/>
          </w:tcPr>
          <w:p>
            <w:r>
              <w:rPr>
                <w:color w:val="000000"/>
                <w:sz w:val="18"/>
                <w:szCs w:val="18"/>
              </w:rPr>
              <w:t xml:space="preserve">Disable/remove distccd; not needed</w:t>
            </w:r>
          </w:p>
        </w:tc>
      </w:tr>
      <w:tr>
        <w:tc>
          <w:tcPr>
            <w:tcW w:type="dxa" w:w="1700"/>
            <w:tcMar>
              <w:top w:type="dxa" w:w="60"/>
              <w:left w:type="dxa" w:w="90"/>
              <w:bottom w:type="dxa" w:w="60"/>
              <w:right w:type="dxa" w:w="90"/>
            </w:tcMar>
            <w:vAlign w:val="center"/>
          </w:tcPr>
          <w:p>
            <w:r>
              <w:rPr>
                <w:color w:val="000000"/>
                <w:sz w:val="18"/>
                <w:szCs w:val="18"/>
              </w:rPr>
              <w:t xml:space="preserve">Java RMI</w:t>
            </w:r>
          </w:p>
        </w:tc>
        <w:tc>
          <w:tcPr>
            <w:tcW w:type="dxa" w:w="700"/>
            <w:tcMar>
              <w:top w:type="dxa" w:w="60"/>
              <w:left w:type="dxa" w:w="90"/>
              <w:bottom w:type="dxa" w:w="60"/>
              <w:right w:type="dxa" w:w="90"/>
            </w:tcMar>
            <w:vAlign w:val="center"/>
          </w:tcPr>
          <w:p>
            <w:r>
              <w:rPr>
                <w:color w:val="000000"/>
                <w:sz w:val="18"/>
                <w:szCs w:val="18"/>
              </w:rPr>
              <w:t xml:space="preserve">1099</w:t>
            </w:r>
          </w:p>
        </w:tc>
        <w:tc>
          <w:tcPr>
            <w:tcW w:type="dxa" w:w="1500"/>
            <w:tcMar>
              <w:top w:type="dxa" w:w="60"/>
              <w:left w:type="dxa" w:w="90"/>
              <w:bottom w:type="dxa" w:w="60"/>
              <w:right w:type="dxa" w:w="90"/>
            </w:tcMar>
            <w:vAlign w:val="center"/>
          </w:tcPr>
          <w:p>
            <w:r>
              <w:rPr>
                <w:color w:val="000000"/>
                <w:sz w:val="18"/>
                <w:szCs w:val="18"/>
              </w:rPr>
              <w:t xml:space="preserve">CVE-2011-3556</w:t>
            </w:r>
          </w:p>
        </w:tc>
        <w:tc>
          <w:tcPr>
            <w:tcW w:type="dxa" w:w="1400"/>
            <w:tcMar>
              <w:top w:type="dxa" w:w="60"/>
              <w:left w:type="dxa" w:w="90"/>
              <w:bottom w:type="dxa" w:w="60"/>
              <w:right w:type="dxa" w:w="90"/>
            </w:tcMar>
            <w:vAlign w:val="center"/>
          </w:tcPr>
          <w:p>
            <w:r>
              <w:rPr>
                <w:color w:val="000000"/>
                <w:sz w:val="18"/>
                <w:szCs w:val="18"/>
              </w:rPr>
              <w:t xml:space="preserve">7.5 *(confirm NVD citation)*</w:t>
            </w:r>
          </w:p>
        </w:tc>
        <w:tc>
          <w:tcPr>
            <w:tcW w:type="dxa" w:w="1500"/>
            <w:tcMar>
              <w:top w:type="dxa" w:w="60"/>
              <w:left w:type="dxa" w:w="90"/>
              <w:bottom w:type="dxa" w:w="60"/>
              <w:right w:type="dxa" w:w="90"/>
            </w:tcMar>
            <w:vAlign w:val="center"/>
          </w:tcPr>
          <w:p>
            <w:r>
              <w:rPr>
                <w:color w:val="000000"/>
                <w:sz w:val="18"/>
                <w:szCs w:val="18"/>
              </w:rPr>
              <w:t xml:space="preserve">Confirmed by NSE script</w:t>
            </w:r>
          </w:p>
        </w:tc>
        <w:tc>
          <w:tcPr>
            <w:tcW w:type="dxa" w:w="2560"/>
            <w:tcMar>
              <w:top w:type="dxa" w:w="60"/>
              <w:left w:type="dxa" w:w="90"/>
              <w:bottom w:type="dxa" w:w="60"/>
              <w:right w:type="dxa" w:w="90"/>
            </w:tcMar>
            <w:vAlign w:val="center"/>
          </w:tcPr>
          <w:p>
            <w:r>
              <w:rPr>
                <w:color w:val="000000"/>
                <w:sz w:val="18"/>
                <w:szCs w:val="18"/>
              </w:rPr>
              <w:t xml:space="preserve">Disable RMI or restrict to trusted hosts</w:t>
            </w:r>
          </w:p>
        </w:tc>
      </w:tr>
      <w:tr>
        <w:tc>
          <w:tcPr>
            <w:tcW w:type="dxa" w:w="1700"/>
            <w:shd w:fill="DCE6F1" w:color="auto" w:val="clear"/>
            <w:tcMar>
              <w:top w:type="dxa" w:w="60"/>
              <w:left w:type="dxa" w:w="90"/>
              <w:bottom w:type="dxa" w:w="60"/>
              <w:right w:type="dxa" w:w="90"/>
            </w:tcMar>
            <w:vAlign w:val="center"/>
          </w:tcPr>
          <w:p>
            <w:r>
              <w:rPr>
                <w:color w:val="000000"/>
                <w:sz w:val="18"/>
                <w:szCs w:val="18"/>
              </w:rPr>
              <w:t xml:space="preserve">Apache httpd</w:t>
            </w:r>
          </w:p>
        </w:tc>
        <w:tc>
          <w:tcPr>
            <w:tcW w:type="dxa" w:w="700"/>
            <w:shd w:fill="DCE6F1" w:color="auto" w:val="clear"/>
            <w:tcMar>
              <w:top w:type="dxa" w:w="60"/>
              <w:left w:type="dxa" w:w="90"/>
              <w:bottom w:type="dxa" w:w="60"/>
              <w:right w:type="dxa" w:w="90"/>
            </w:tcMar>
            <w:vAlign w:val="center"/>
          </w:tcPr>
          <w:p>
            <w:r>
              <w:rPr>
                <w:color w:val="000000"/>
                <w:sz w:val="18"/>
                <w:szCs w:val="18"/>
              </w:rPr>
              <w:t xml:space="preserve">80</w:t>
            </w:r>
          </w:p>
        </w:tc>
        <w:tc>
          <w:tcPr>
            <w:tcW w:type="dxa" w:w="1500"/>
            <w:shd w:fill="DCE6F1" w:color="auto" w:val="clear"/>
            <w:tcMar>
              <w:top w:type="dxa" w:w="60"/>
              <w:left w:type="dxa" w:w="90"/>
              <w:bottom w:type="dxa" w:w="60"/>
              <w:right w:type="dxa" w:w="90"/>
            </w:tcMar>
            <w:vAlign w:val="center"/>
          </w:tcPr>
          <w:p>
            <w:r>
              <w:rPr>
                <w:color w:val="000000"/>
                <w:sz w:val="18"/>
                <w:szCs w:val="18"/>
              </w:rPr>
              <w:t xml:space="preserve">CVE-2007-6750 (Slowloris)</w:t>
            </w:r>
          </w:p>
        </w:tc>
        <w:tc>
          <w:tcPr>
            <w:tcW w:type="dxa" w:w="1400"/>
            <w:shd w:fill="DCE6F1" w:color="auto" w:val="clear"/>
            <w:tcMar>
              <w:top w:type="dxa" w:w="60"/>
              <w:left w:type="dxa" w:w="90"/>
              <w:bottom w:type="dxa" w:w="60"/>
              <w:right w:type="dxa" w:w="90"/>
            </w:tcMar>
            <w:vAlign w:val="center"/>
          </w:tcPr>
          <w:p>
            <w:r>
              <w:rPr>
                <w:color w:val="000000"/>
                <w:sz w:val="18"/>
                <w:szCs w:val="18"/>
              </w:rPr>
              <w:t xml:space="preserve">—</w:t>
            </w:r>
          </w:p>
        </w:tc>
        <w:tc>
          <w:tcPr>
            <w:tcW w:type="dxa" w:w="1500"/>
            <w:shd w:fill="DCE6F1" w:color="auto" w:val="clear"/>
            <w:tcMar>
              <w:top w:type="dxa" w:w="60"/>
              <w:left w:type="dxa" w:w="90"/>
              <w:bottom w:type="dxa" w:w="60"/>
              <w:right w:type="dxa" w:w="90"/>
            </w:tcMar>
            <w:vAlign w:val="center"/>
          </w:tcPr>
          <w:p>
            <w:r>
              <w:rPr>
                <w:color w:val="000000"/>
                <w:sz w:val="18"/>
                <w:szCs w:val="18"/>
              </w:rPr>
              <w:t xml:space="preserve">Confirmed</w:t>
            </w:r>
          </w:p>
        </w:tc>
        <w:tc>
          <w:tcPr>
            <w:tcW w:type="dxa" w:w="2560"/>
            <w:shd w:fill="DCE6F1" w:color="auto" w:val="clear"/>
            <w:tcMar>
              <w:top w:type="dxa" w:w="60"/>
              <w:left w:type="dxa" w:w="90"/>
              <w:bottom w:type="dxa" w:w="60"/>
              <w:right w:type="dxa" w:w="90"/>
            </w:tcMar>
            <w:vAlign w:val="center"/>
          </w:tcPr>
          <w:p>
            <w:r>
              <w:rPr>
                <w:color w:val="000000"/>
                <w:sz w:val="18"/>
                <w:szCs w:val="18"/>
              </w:rPr>
              <w:t xml:space="preserve">Apply request-timeout/connection-limit mitigations or upgrade</w:t>
            </w:r>
          </w:p>
        </w:tc>
      </w:tr>
      <w:tr>
        <w:tc>
          <w:tcPr>
            <w:tcW w:type="dxa" w:w="1700"/>
            <w:tcMar>
              <w:top w:type="dxa" w:w="60"/>
              <w:left w:type="dxa" w:w="90"/>
              <w:bottom w:type="dxa" w:w="60"/>
              <w:right w:type="dxa" w:w="90"/>
            </w:tcMar>
            <w:vAlign w:val="center"/>
          </w:tcPr>
          <w:p>
            <w:r>
              <w:rPr>
                <w:color w:val="000000"/>
                <w:sz w:val="18"/>
                <w:szCs w:val="18"/>
              </w:rPr>
              <w:t xml:space="preserve">Bind shell (Ingreslock)</w:t>
            </w:r>
          </w:p>
        </w:tc>
        <w:tc>
          <w:tcPr>
            <w:tcW w:type="dxa" w:w="700"/>
            <w:tcMar>
              <w:top w:type="dxa" w:w="60"/>
              <w:left w:type="dxa" w:w="90"/>
              <w:bottom w:type="dxa" w:w="60"/>
              <w:right w:type="dxa" w:w="90"/>
            </w:tcMar>
            <w:vAlign w:val="center"/>
          </w:tcPr>
          <w:p>
            <w:r>
              <w:rPr>
                <w:color w:val="000000"/>
                <w:sz w:val="18"/>
                <w:szCs w:val="18"/>
              </w:rPr>
              <w:t xml:space="preserve">1524</w:t>
            </w:r>
          </w:p>
        </w:tc>
        <w:tc>
          <w:tcPr>
            <w:tcW w:type="dxa" w:w="1500"/>
            <w:tcMar>
              <w:top w:type="dxa" w:w="60"/>
              <w:left w:type="dxa" w:w="90"/>
              <w:bottom w:type="dxa" w:w="60"/>
              <w:right w:type="dxa" w:w="90"/>
            </w:tcMar>
            <w:vAlign w:val="center"/>
          </w:tcPr>
          <w:p>
            <w:r>
              <w:rPr>
                <w:color w:val="000000"/>
                <w:sz w:val="18"/>
                <w:szCs w:val="18"/>
              </w:rPr>
              <w:t xml:space="preserve">No CVE (backdoor)</w:t>
            </w:r>
          </w:p>
        </w:tc>
        <w:tc>
          <w:tcPr>
            <w:tcW w:type="dxa" w:w="1400"/>
            <w:tcMar>
              <w:top w:type="dxa" w:w="60"/>
              <w:left w:type="dxa" w:w="90"/>
              <w:bottom w:type="dxa" w:w="60"/>
              <w:right w:type="dxa" w:w="90"/>
            </w:tcMar>
            <w:vAlign w:val="center"/>
          </w:tcPr>
          <w:p>
            <w:r>
              <w:rPr>
                <w:color w:val="000000"/>
                <w:sz w:val="18"/>
                <w:szCs w:val="18"/>
              </w:rPr>
              <w:t xml:space="preserve">10.0 (informal)</w:t>
            </w:r>
          </w:p>
        </w:tc>
        <w:tc>
          <w:tcPr>
            <w:tcW w:type="dxa" w:w="1500"/>
            <w:tcMar>
              <w:top w:type="dxa" w:w="60"/>
              <w:left w:type="dxa" w:w="90"/>
              <w:bottom w:type="dxa" w:w="60"/>
              <w:right w:type="dxa" w:w="90"/>
            </w:tcMar>
            <w:vAlign w:val="center"/>
          </w:tcPr>
          <w:p>
            <w:r>
              <w:rPr>
                <w:color w:val="000000"/>
                <w:sz w:val="18"/>
                <w:szCs w:val="18"/>
              </w:rPr>
              <w:t xml:space="preserve">Confirmed</w:t>
            </w:r>
          </w:p>
        </w:tc>
        <w:tc>
          <w:tcPr>
            <w:tcW w:type="dxa" w:w="2560"/>
            <w:tcMar>
              <w:top w:type="dxa" w:w="60"/>
              <w:left w:type="dxa" w:w="90"/>
              <w:bottom w:type="dxa" w:w="60"/>
              <w:right w:type="dxa" w:w="90"/>
            </w:tcMar>
            <w:vAlign w:val="center"/>
          </w:tcPr>
          <w:p>
            <w:r>
              <w:rPr>
                <w:color w:val="000000"/>
                <w:sz w:val="18"/>
                <w:szCs w:val="18"/>
              </w:rPr>
              <w:t xml:space="preserve">Indicator of compromise: remove inetd entry, block port</w:t>
            </w:r>
          </w:p>
        </w:tc>
      </w:tr>
    </w:tbl>
    <w:p>
      <w:pPr>
        <w:shd w:fill="FFF2CC" w:color="auto" w:val="clear"/>
        <w:spacing w:after="160" w:before="60"/>
      </w:pPr>
      <w:r>
        <w:rPr>
          <w:i/>
          <w:iCs/>
          <w:color w:val="7F6000"/>
          <w:sz w:val="19"/>
          <w:szCs w:val="19"/>
        </w:rPr>
        <w:t xml:space="preserve">Corrected: Apache httpd's CVE is CVE-2007-6750 (Slowloris), not the earlier CVE-2011-3192 guess — this correction already went out to the team during Phase 2 but the shared matrix hadn't picked it up. Java RMI's CVSS (7.5) still needs one NVD click-through confirmed by whoever owns that finding before final submission.</w:t>
      </w:r>
    </w:p>
    <w:p>
      <w:pPr>
        <w:pStyle w:val="Heading2"/>
        <w:spacing w:after="100" w:before="220"/>
      </w:pPr>
      <w:r>
        <w:t xml:space="preserve">4.2 Verification Note: Spoofed Service Banner (Port 21)</w:t>
      </w:r>
    </w:p>
    <w:p>
      <w:pPr>
        <w:spacing w:after="120"/>
      </w:pPr>
      <w:r>
        <w:t xml:space="preserve">The service-version scan reported port 21 as "vsftpd 2.0.8 or later," which would rule out the vsftpd 2.3.4 backdoor (CVE-2011-2523). The team did not trust the banner. Running Nmap's ftp-vsftpd-backdoor script triggered the backdoor and executed the id command on the target, returning uid=0(root). This proved the banner was spoofed and the service is the backdoored vsftpd 2.3.4 — direct demonstration of why the Manual Verification Mandate exists: automated version detection alone would have produced a false negative on the most critical finding on the host.</w:t>
      </w:r>
    </w:p>
    <w:p>
      <w:pPr>
        <w:pStyle w:val="Heading2"/>
        <w:spacing w:after="100" w:before="220"/>
      </w:pPr>
      <w:r>
        <w:t xml:space="preserve">4.3 Attack Path Hypothesis (MITRE ATT&amp;CK Aligned)</w:t>
      </w:r>
    </w:p>
    <w:p>
      <w:pPr>
        <w:spacing w:after="120"/>
      </w:pPr>
      <w:r>
        <w:t xml:space="preserve">Initial Access (T1190, Exploit Public-Facing Application): the attacker most likely gained entry through the confirmed vsftpd 2.3.4 backdoor (CVE-2011-2523), which yields a root shell directly; UnrealIRCd (CVE-2010-2075), distccd (CVE-2004-2687), and Samba (CVE-2007-2447) are additional viable unauthenticated entry points. Execution (T1059): command execution as a privileged user. Persistence (T1505): the attacker planted a root bind shell on port 1524 for password-free re-entry, which the team detected as a live indicator of prior compromise.</w:t>
      </w:r>
    </w:p>
    <w:p>
      <w:pPr>
        <w:pStyle w:val="Heading1"/>
        <w:spacing w:after="140" w:before="320"/>
      </w:pPr>
      <w:r>
        <w:t xml:space="preserve">5. Phase 3 — Contain</w:t>
      </w:r>
    </w:p>
    <w:p>
      <w:pPr>
        <w:spacing w:after="120"/>
      </w:pPr>
      <w:r>
        <w:t xml:space="preserve">Volatile system state (active connections, processes, logged-in users) and relevant logs were captured to /tmp/evidence before any change, preserving the crime scene. Surgical host-firewall rules then blocked the confirmed attack paths, neutralizing them while leaving SSH, web, and other legitimate services online. The block was verified from the Analyst VM.</w:t>
      </w:r>
    </w:p>
    <w:p>
      <w:pPr>
        <w:shd w:fill="FFF2CC" w:color="auto" w:val="clear"/>
        <w:spacing w:after="160" w:before="60"/>
      </w:pPr>
      <w:r>
        <w:rPr>
          <w:i/>
          <w:iCs/>
          <w:color w:val="7F6000"/>
          <w:sz w:val="19"/>
          <w:szCs w:val="19"/>
        </w:rPr>
        <w:t xml:space="preserve">Reviewer note for Parker: confirm the exact port list blocked at this stage against the team's containment evidence. Ron's individually verified Phase 3 log shows ufw deny rules on 21/tcp and 1524/tcp only (the two confirmed root backdoors) — if other members' labs also blocked 3632/6667 at containment, that's fine, just make sure this section matches whatever screenshots back it up.</w:t>
      </w:r>
    </w:p>
    <w:p>
      <w:pPr>
        <w:pStyle w:val="Heading1"/>
        <w:spacing w:after="140" w:before="320"/>
      </w:pPr>
      <w:r>
        <w:t xml:space="preserve">6. Phase 4 — Eradicate &amp; Recover</w:t>
      </w:r>
    </w:p>
    <w:p>
      <w:pPr>
        <w:pStyle w:val="Heading2"/>
        <w:spacing w:after="100" w:before="220"/>
      </w:pPr>
      <w:r>
        <w:t xml:space="preserve">6.1 Eradication (Task 8)</w:t>
      </w:r>
    </w:p>
    <w:p>
      <w:pPr>
        <w:spacing w:after="120"/>
      </w:pPr>
      <w:r>
        <w:t xml:space="preserve">The vsftpd 2.3.4 backdoor, the port 1524 ingreslock root bind shell, and the distccd remote-code-execution service were all removed permanently at their actual source — not just firewalled. Standard commands (service stop, apt-get purge) failed outright for two of the three, because neither was managed the way a textbook Ubuntu service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50"/>
        <w:gridCol w:w="3150"/>
        <w:gridCol w:w="1260"/>
      </w:tblGrid>
      <w:tr>
        <w:tc>
          <w:tcPr>
            <w:tcW w:type="dxa" w:w="2000"/>
            <w:shd w:fill="1F3864" w:color="auto" w:val="clear"/>
            <w:tcMar>
              <w:top w:type="dxa" w:w="60"/>
              <w:left w:type="dxa" w:w="90"/>
              <w:bottom w:type="dxa" w:w="60"/>
              <w:right w:type="dxa" w:w="90"/>
            </w:tcMar>
            <w:vAlign w:val="center"/>
          </w:tcPr>
          <w:p>
            <w:r>
              <w:rPr>
                <w:b/>
                <w:bCs/>
                <w:color w:val="FFFFFF"/>
                <w:sz w:val="18"/>
                <w:szCs w:val="18"/>
              </w:rPr>
              <w:t xml:space="preserve">Vector</w:t>
            </w:r>
          </w:p>
        </w:tc>
        <w:tc>
          <w:tcPr>
            <w:tcW w:type="dxa" w:w="2950"/>
            <w:shd w:fill="1F3864" w:color="auto" w:val="clear"/>
            <w:tcMar>
              <w:top w:type="dxa" w:w="60"/>
              <w:left w:type="dxa" w:w="90"/>
              <w:bottom w:type="dxa" w:w="60"/>
              <w:right w:type="dxa" w:w="90"/>
            </w:tcMar>
            <w:vAlign w:val="center"/>
          </w:tcPr>
          <w:p>
            <w:r>
              <w:rPr>
                <w:b/>
                <w:bCs/>
                <w:color w:val="FFFFFF"/>
                <w:sz w:val="18"/>
                <w:szCs w:val="18"/>
              </w:rPr>
              <w:t xml:space="preserve">Root Cause Found</w:t>
            </w:r>
          </w:p>
        </w:tc>
        <w:tc>
          <w:tcPr>
            <w:tcW w:type="dxa" w:w="3150"/>
            <w:shd w:fill="1F3864" w:color="auto" w:val="clear"/>
            <w:tcMar>
              <w:top w:type="dxa" w:w="60"/>
              <w:left w:type="dxa" w:w="90"/>
              <w:bottom w:type="dxa" w:w="60"/>
              <w:right w:type="dxa" w:w="90"/>
            </w:tcMar>
            <w:vAlign w:val="center"/>
          </w:tcPr>
          <w:p>
            <w:r>
              <w:rPr>
                <w:b/>
                <w:bCs/>
                <w:color w:val="FFFFFF"/>
                <w:sz w:val="18"/>
                <w:szCs w:val="18"/>
              </w:rPr>
              <w:t xml:space="preserve">Permanent Fix Applied</w:t>
            </w:r>
          </w:p>
        </w:tc>
        <w:tc>
          <w:tcPr>
            <w:tcW w:type="dxa" w:w="1260"/>
            <w:shd w:fill="1F3864" w:color="auto" w:val="clear"/>
            <w:tcMar>
              <w:top w:type="dxa" w:w="60"/>
              <w:left w:type="dxa" w:w="90"/>
              <w:bottom w:type="dxa" w:w="60"/>
              <w:right w:type="dxa" w:w="90"/>
            </w:tcMar>
            <w:vAlign w:val="center"/>
          </w:tcPr>
          <w:p>
            <w:r>
              <w:rPr>
                <w:b/>
                <w:bCs/>
                <w:color w:val="FFFFFF"/>
                <w:sz w:val="18"/>
                <w:szCs w:val="18"/>
              </w:rPr>
              <w:t xml:space="preserve">Reboot-Safe?</w:t>
            </w:r>
          </w:p>
        </w:tc>
      </w:tr>
      <w:tr>
        <w:tc>
          <w:tcPr>
            <w:tcW w:type="dxa" w:w="2000"/>
            <w:tcMar>
              <w:top w:type="dxa" w:w="60"/>
              <w:left w:type="dxa" w:w="90"/>
              <w:bottom w:type="dxa" w:w="60"/>
              <w:right w:type="dxa" w:w="90"/>
            </w:tcMar>
            <w:vAlign w:val="center"/>
          </w:tcPr>
          <w:p>
            <w:r>
              <w:rPr>
                <w:color w:val="000000"/>
                <w:sz w:val="18"/>
                <w:szCs w:val="18"/>
              </w:rPr>
              <w:t xml:space="preserve">vsftpd (port 21) — CVE-2011-2523</w:t>
            </w:r>
          </w:p>
        </w:tc>
        <w:tc>
          <w:tcPr>
            <w:tcW w:type="dxa" w:w="2950"/>
            <w:tcMar>
              <w:top w:type="dxa" w:w="60"/>
              <w:left w:type="dxa" w:w="90"/>
              <w:bottom w:type="dxa" w:w="60"/>
              <w:right w:type="dxa" w:w="90"/>
            </w:tcMar>
            <w:vAlign w:val="center"/>
          </w:tcPr>
          <w:p>
            <w:r>
              <w:rPr>
                <w:color w:val="000000"/>
                <w:sz w:val="18"/>
                <w:szCs w:val="18"/>
              </w:rPr>
              <w:t xml:space="preserve">Managed by xinetd (/etc/xinetd.d/vsftpd), not a normal service/package</w:t>
            </w:r>
          </w:p>
        </w:tc>
        <w:tc>
          <w:tcPr>
            <w:tcW w:type="dxa" w:w="3150"/>
            <w:tcMar>
              <w:top w:type="dxa" w:w="60"/>
              <w:left w:type="dxa" w:w="90"/>
              <w:bottom w:type="dxa" w:w="60"/>
              <w:right w:type="dxa" w:w="90"/>
            </w:tcMar>
            <w:vAlign w:val="center"/>
          </w:tcPr>
          <w:p>
            <w:r>
              <w:rPr>
                <w:color w:val="000000"/>
                <w:sz w:val="18"/>
                <w:szCs w:val="18"/>
              </w:rPr>
              <w:t xml:space="preserve">disable = yes set in the xinetd config; live process killed; xinetd restarted</w:t>
            </w:r>
          </w:p>
        </w:tc>
        <w:tc>
          <w:tcPr>
            <w:tcW w:type="dxa" w:w="1260"/>
            <w:tcMar>
              <w:top w:type="dxa" w:w="60"/>
              <w:left w:type="dxa" w:w="90"/>
              <w:bottom w:type="dxa" w:w="60"/>
              <w:right w:type="dxa" w:w="90"/>
            </w:tcMar>
            <w:vAlign w:val="center"/>
          </w:tcPr>
          <w:p>
            <w:r>
              <w:rPr>
                <w:color w:val="000000"/>
                <w:sz w:val="18"/>
                <w:szCs w:val="18"/>
              </w:rPr>
              <w:t xml:space="preserve">Yes</w:t>
            </w:r>
          </w:p>
        </w:tc>
      </w:tr>
      <w:tr>
        <w:tc>
          <w:tcPr>
            <w:tcW w:type="dxa" w:w="2000"/>
            <w:shd w:fill="DCE6F1" w:color="auto" w:val="clear"/>
            <w:tcMar>
              <w:top w:type="dxa" w:w="60"/>
              <w:left w:type="dxa" w:w="90"/>
              <w:bottom w:type="dxa" w:w="60"/>
              <w:right w:type="dxa" w:w="90"/>
            </w:tcMar>
            <w:vAlign w:val="center"/>
          </w:tcPr>
          <w:p>
            <w:r>
              <w:rPr>
                <w:color w:val="000000"/>
                <w:sz w:val="18"/>
                <w:szCs w:val="18"/>
              </w:rPr>
              <w:t xml:space="preserve">Ingreslock (port 1524)</w:t>
            </w:r>
          </w:p>
        </w:tc>
        <w:tc>
          <w:tcPr>
            <w:tcW w:type="dxa" w:w="2950"/>
            <w:shd w:fill="DCE6F1" w:color="auto" w:val="clear"/>
            <w:tcMar>
              <w:top w:type="dxa" w:w="60"/>
              <w:left w:type="dxa" w:w="90"/>
              <w:bottom w:type="dxa" w:w="60"/>
              <w:right w:type="dxa" w:w="90"/>
            </w:tcMar>
            <w:vAlign w:val="center"/>
          </w:tcPr>
          <w:p>
            <w:r>
              <w:rPr>
                <w:color w:val="000000"/>
                <w:sz w:val="18"/>
                <w:szCs w:val="18"/>
              </w:rPr>
              <w:t xml:space="preserve">Legacy /etc/inetd.conf entry, honored via xinetd -inetd_compat; spawned a root shell on connect; no trace in /etc/xinetd.d/</w:t>
            </w:r>
          </w:p>
        </w:tc>
        <w:tc>
          <w:tcPr>
            <w:tcW w:type="dxa" w:w="3150"/>
            <w:shd w:fill="DCE6F1" w:color="auto" w:val="clear"/>
            <w:tcMar>
              <w:top w:type="dxa" w:w="60"/>
              <w:left w:type="dxa" w:w="90"/>
              <w:bottom w:type="dxa" w:w="60"/>
              <w:right w:type="dxa" w:w="90"/>
            </w:tcMar>
            <w:vAlign w:val="center"/>
          </w:tcPr>
          <w:p>
            <w:r>
              <w:rPr>
                <w:color w:val="000000"/>
                <w:sz w:val="18"/>
                <w:szCs w:val="18"/>
              </w:rPr>
              <w:t xml:space="preserve">Line commented out in inetd.conf; live process killed; xinetd restarted</w:t>
            </w:r>
          </w:p>
        </w:tc>
        <w:tc>
          <w:tcPr>
            <w:tcW w:type="dxa" w:w="1260"/>
            <w:shd w:fill="DCE6F1" w:color="auto" w:val="clear"/>
            <w:tcMar>
              <w:top w:type="dxa" w:w="60"/>
              <w:left w:type="dxa" w:w="90"/>
              <w:bottom w:type="dxa" w:w="60"/>
              <w:right w:type="dxa" w:w="90"/>
            </w:tcMar>
            <w:vAlign w:val="center"/>
          </w:tcPr>
          <w:p>
            <w:r>
              <w:rPr>
                <w:color w:val="000000"/>
                <w:sz w:val="18"/>
                <w:szCs w:val="18"/>
              </w:rPr>
              <w:t xml:space="preserve">Yes</w:t>
            </w:r>
          </w:p>
        </w:tc>
      </w:tr>
      <w:tr>
        <w:tc>
          <w:tcPr>
            <w:tcW w:type="dxa" w:w="2000"/>
            <w:tcMar>
              <w:top w:type="dxa" w:w="60"/>
              <w:left w:type="dxa" w:w="90"/>
              <w:bottom w:type="dxa" w:w="60"/>
              <w:right w:type="dxa" w:w="90"/>
            </w:tcMar>
            <w:vAlign w:val="center"/>
          </w:tcPr>
          <w:p>
            <w:r>
              <w:rPr>
                <w:color w:val="000000"/>
                <w:sz w:val="18"/>
                <w:szCs w:val="18"/>
              </w:rPr>
              <w:t xml:space="preserve">distccd (port 3632) — CVE-2004-2687</w:t>
            </w:r>
          </w:p>
        </w:tc>
        <w:tc>
          <w:tcPr>
            <w:tcW w:type="dxa" w:w="2950"/>
            <w:tcMar>
              <w:top w:type="dxa" w:w="60"/>
              <w:left w:type="dxa" w:w="90"/>
              <w:bottom w:type="dxa" w:w="60"/>
              <w:right w:type="dxa" w:w="90"/>
            </w:tcMar>
            <w:vAlign w:val="center"/>
          </w:tcPr>
          <w:p>
            <w:r>
              <w:rPr>
                <w:color w:val="000000"/>
                <w:sz w:val="18"/>
                <w:szCs w:val="18"/>
              </w:rPr>
              <w:t xml:space="preserve">Properly installed service; STARTDISTCC="true" in /etc/default/distcc</w:t>
            </w:r>
          </w:p>
        </w:tc>
        <w:tc>
          <w:tcPr>
            <w:tcW w:type="dxa" w:w="3150"/>
            <w:tcMar>
              <w:top w:type="dxa" w:w="60"/>
              <w:left w:type="dxa" w:w="90"/>
              <w:bottom w:type="dxa" w:w="60"/>
              <w:right w:type="dxa" w:w="90"/>
            </w:tcMar>
            <w:vAlign w:val="center"/>
          </w:tcPr>
          <w:p>
            <w:r>
              <w:rPr>
                <w:color w:val="000000"/>
                <w:sz w:val="18"/>
                <w:szCs w:val="18"/>
              </w:rPr>
              <w:t xml:space="preserve">Set to "false"; all 4 live distccd processes killed (service/init.d stop commands were start-only, so kill -9 was used)</w:t>
            </w:r>
          </w:p>
        </w:tc>
        <w:tc>
          <w:tcPr>
            <w:tcW w:type="dxa" w:w="1260"/>
            <w:tcMar>
              <w:top w:type="dxa" w:w="60"/>
              <w:left w:type="dxa" w:w="90"/>
              <w:bottom w:type="dxa" w:w="60"/>
              <w:right w:type="dxa" w:w="90"/>
            </w:tcMar>
            <w:vAlign w:val="center"/>
          </w:tcPr>
          <w:p>
            <w:r>
              <w:rPr>
                <w:color w:val="000000"/>
                <w:sz w:val="18"/>
                <w:szCs w:val="18"/>
              </w:rPr>
              <w:t xml:space="preserve">Yes</w:t>
            </w:r>
          </w:p>
        </w:tc>
      </w:tr>
    </w:tbl>
    <w:p>
      <w:pPr>
        <w:spacing w:after="160"/>
      </w:pPr>
    </w:p>
    <w:p>
      <w:pPr>
        <w:pStyle w:val="Heading3"/>
        <w:spacing w:after="80" w:before="160"/>
      </w:pPr>
      <w:r>
        <w:t xml:space="preserve">Finding the invisible backdoor</w:t>
      </w:r>
    </w:p>
    <w:p>
      <w:pPr>
        <w:spacing w:after="120"/>
      </w:pPr>
      <w:r>
        <w:t xml:space="preserve">The Ingreslock backdoor had no entry anywhere in /etc/xinetd.d/ — the config directory every guide says to check. It was found by working backward from the live network state: identifying the PID holding the port open, tracing that process's real launch command, discovering an undocumented -inetd_compat flag, and finally locating the actual entry in the legacy /etc/inetd.conf file. This is the kind of finding a checklist scan misses entirely.</w:t>
      </w:r>
    </w:p>
    <w:p>
      <w:pPr>
        <w:pStyle w:val="Heading2"/>
        <w:spacing w:after="100" w:before="220"/>
      </w:pPr>
      <w:r>
        <w:t xml:space="preserve">6.2 System Hardening (Task 9)</w:t>
      </w:r>
    </w:p>
    <w:p>
      <w:pPr>
        <w:spacing w:after="120"/>
      </w:pPr>
      <w:r>
        <w:t xml:space="preserve">Beyond eradicating the confirmed attack vectors, the team audited the Phase 1 scan for services running but not required for the server's core function, and disabled them to reduce the attack surface. Four non-critical services were found auto-starting from /etc/rc.local: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shd w:fill="1F3864" w:color="auto" w:val="clear"/>
            <w:tcMar>
              <w:top w:type="dxa" w:w="60"/>
              <w:left w:type="dxa" w:w="90"/>
              <w:bottom w:type="dxa" w:w="60"/>
              <w:right w:type="dxa" w:w="90"/>
            </w:tcMar>
            <w:vAlign w:val="center"/>
          </w:tcPr>
          <w:p>
            <w:r>
              <w:rPr>
                <w:b/>
                <w:bCs/>
                <w:color w:val="FFFFFF"/>
                <w:sz w:val="18"/>
                <w:szCs w:val="18"/>
              </w:rPr>
              <w:t xml:space="preserve">Port</w:t>
            </w:r>
          </w:p>
        </w:tc>
        <w:tc>
          <w:tcPr>
            <w:tcW w:type="dxa" w:w="3400"/>
            <w:shd w:fill="1F3864" w:color="auto" w:val="clear"/>
            <w:tcMar>
              <w:top w:type="dxa" w:w="60"/>
              <w:left w:type="dxa" w:w="90"/>
              <w:bottom w:type="dxa" w:w="60"/>
              <w:right w:type="dxa" w:w="90"/>
            </w:tcMar>
            <w:vAlign w:val="center"/>
          </w:tcPr>
          <w:p>
            <w:r>
              <w:rPr>
                <w:b/>
                <w:bCs/>
                <w:color w:val="FFFFFF"/>
                <w:sz w:val="18"/>
                <w:szCs w:val="18"/>
              </w:rPr>
              <w:t xml:space="preserve">Service</w:t>
            </w:r>
          </w:p>
        </w:tc>
        <w:tc>
          <w:tcPr>
            <w:tcW w:type="dxa" w:w="4760"/>
            <w:shd w:fill="1F3864" w:color="auto" w:val="clear"/>
            <w:tcMar>
              <w:top w:type="dxa" w:w="60"/>
              <w:left w:type="dxa" w:w="90"/>
              <w:bottom w:type="dxa" w:w="60"/>
              <w:right w:type="dxa" w:w="90"/>
            </w:tcMar>
            <w:vAlign w:val="center"/>
          </w:tcPr>
          <w:p>
            <w:r>
              <w:rPr>
                <w:b/>
                <w:bCs/>
                <w:color w:val="FFFFFF"/>
                <w:sz w:val="18"/>
                <w:szCs w:val="18"/>
              </w:rPr>
              <w:t xml:space="preserve">Why it was disabled</w:t>
            </w:r>
          </w:p>
        </w:tc>
      </w:tr>
      <w:tr>
        <w:tc>
          <w:tcPr>
            <w:tcW w:type="dxa" w:w="1200"/>
            <w:tcMar>
              <w:top w:type="dxa" w:w="60"/>
              <w:left w:type="dxa" w:w="90"/>
              <w:bottom w:type="dxa" w:w="60"/>
              <w:right w:type="dxa" w:w="90"/>
            </w:tcMar>
            <w:vAlign w:val="center"/>
          </w:tcPr>
          <w:p>
            <w:r>
              <w:rPr>
                <w:color w:val="000000"/>
                <w:sz w:val="18"/>
                <w:szCs w:val="18"/>
              </w:rPr>
              <w:t xml:space="preserve">1099</w:t>
            </w:r>
          </w:p>
        </w:tc>
        <w:tc>
          <w:tcPr>
            <w:tcW w:type="dxa" w:w="3400"/>
            <w:tcMar>
              <w:top w:type="dxa" w:w="60"/>
              <w:left w:type="dxa" w:w="90"/>
              <w:bottom w:type="dxa" w:w="60"/>
              <w:right w:type="dxa" w:w="90"/>
            </w:tcMar>
            <w:vAlign w:val="center"/>
          </w:tcPr>
          <w:p>
            <w:r>
              <w:rPr>
                <w:color w:val="000000"/>
                <w:sz w:val="18"/>
                <w:szCs w:val="18"/>
              </w:rPr>
              <w:t xml:space="preserve">Java RMI (rmiregistry)</w:t>
            </w:r>
          </w:p>
        </w:tc>
        <w:tc>
          <w:tcPr>
            <w:tcW w:type="dxa" w:w="4760"/>
            <w:tcMar>
              <w:top w:type="dxa" w:w="60"/>
              <w:left w:type="dxa" w:w="90"/>
              <w:bottom w:type="dxa" w:w="60"/>
              <w:right w:type="dxa" w:w="90"/>
            </w:tcMar>
            <w:vAlign w:val="center"/>
          </w:tcPr>
          <w:p>
            <w:r>
              <w:rPr>
                <w:color w:val="000000"/>
                <w:sz w:val="18"/>
                <w:szCs w:val="18"/>
              </w:rPr>
              <w:t xml:space="preserve">Remote method invocation; not needed for core function and a known RCE surface</w:t>
            </w:r>
          </w:p>
        </w:tc>
      </w:tr>
      <w:tr>
        <w:tc>
          <w:tcPr>
            <w:tcW w:type="dxa" w:w="1200"/>
            <w:shd w:fill="DCE6F1" w:color="auto" w:val="clear"/>
            <w:tcMar>
              <w:top w:type="dxa" w:w="60"/>
              <w:left w:type="dxa" w:w="90"/>
              <w:bottom w:type="dxa" w:w="60"/>
              <w:right w:type="dxa" w:w="90"/>
            </w:tcMar>
            <w:vAlign w:val="center"/>
          </w:tcPr>
          <w:p>
            <w:r>
              <w:rPr>
                <w:color w:val="000000"/>
                <w:sz w:val="18"/>
                <w:szCs w:val="18"/>
              </w:rPr>
              <w:t xml:space="preserve">5900</w:t>
            </w:r>
          </w:p>
        </w:tc>
        <w:tc>
          <w:tcPr>
            <w:tcW w:type="dxa" w:w="3400"/>
            <w:shd w:fill="DCE6F1" w:color="auto" w:val="clear"/>
            <w:tcMar>
              <w:top w:type="dxa" w:w="60"/>
              <w:left w:type="dxa" w:w="90"/>
              <w:bottom w:type="dxa" w:w="60"/>
              <w:right w:type="dxa" w:w="90"/>
            </w:tcMar>
            <w:vAlign w:val="center"/>
          </w:tcPr>
          <w:p>
            <w:r>
              <w:rPr>
                <w:color w:val="000000"/>
                <w:sz w:val="18"/>
                <w:szCs w:val="18"/>
              </w:rPr>
              <w:t xml:space="preserve">VNC (Xtightvnc)</w:t>
            </w:r>
          </w:p>
        </w:tc>
        <w:tc>
          <w:tcPr>
            <w:tcW w:type="dxa" w:w="4760"/>
            <w:shd w:fill="DCE6F1" w:color="auto" w:val="clear"/>
            <w:tcMar>
              <w:top w:type="dxa" w:w="60"/>
              <w:left w:type="dxa" w:w="90"/>
              <w:bottom w:type="dxa" w:w="60"/>
              <w:right w:type="dxa" w:w="90"/>
            </w:tcMar>
            <w:vAlign w:val="center"/>
          </w:tcPr>
          <w:p>
            <w:r>
              <w:rPr>
                <w:color w:val="000000"/>
                <w:sz w:val="18"/>
                <w:szCs w:val="18"/>
              </w:rPr>
              <w:t xml:space="preserve">Remote desktop; redundant with SSH and an unnecessary remote-access exposure</w:t>
            </w:r>
          </w:p>
        </w:tc>
      </w:tr>
      <w:tr>
        <w:tc>
          <w:tcPr>
            <w:tcW w:type="dxa" w:w="1200"/>
            <w:tcMar>
              <w:top w:type="dxa" w:w="60"/>
              <w:left w:type="dxa" w:w="90"/>
              <w:bottom w:type="dxa" w:w="60"/>
              <w:right w:type="dxa" w:w="90"/>
            </w:tcMar>
            <w:vAlign w:val="center"/>
          </w:tcPr>
          <w:p>
            <w:r>
              <w:rPr>
                <w:color w:val="000000"/>
                <w:sz w:val="18"/>
                <w:szCs w:val="18"/>
              </w:rPr>
              <w:t xml:space="preserve">6667</w:t>
            </w:r>
          </w:p>
        </w:tc>
        <w:tc>
          <w:tcPr>
            <w:tcW w:type="dxa" w:w="3400"/>
            <w:tcMar>
              <w:top w:type="dxa" w:w="60"/>
              <w:left w:type="dxa" w:w="90"/>
              <w:bottom w:type="dxa" w:w="60"/>
              <w:right w:type="dxa" w:w="90"/>
            </w:tcMar>
            <w:vAlign w:val="center"/>
          </w:tcPr>
          <w:p>
            <w:r>
              <w:rPr>
                <w:color w:val="000000"/>
                <w:sz w:val="18"/>
                <w:szCs w:val="18"/>
              </w:rPr>
              <w:t xml:space="preserve">UnrealIRCd</w:t>
            </w:r>
          </w:p>
        </w:tc>
        <w:tc>
          <w:tcPr>
            <w:tcW w:type="dxa" w:w="4760"/>
            <w:tcMar>
              <w:top w:type="dxa" w:w="60"/>
              <w:left w:type="dxa" w:w="90"/>
              <w:bottom w:type="dxa" w:w="60"/>
              <w:right w:type="dxa" w:w="90"/>
            </w:tcMar>
            <w:vAlign w:val="center"/>
          </w:tcPr>
          <w:p>
            <w:r>
              <w:rPr>
                <w:color w:val="000000"/>
                <w:sz w:val="18"/>
                <w:szCs w:val="18"/>
              </w:rPr>
              <w:t xml:space="preserve">IRC service; unnecessary and from a previously trojaned release</w:t>
            </w:r>
          </w:p>
        </w:tc>
      </w:tr>
      <w:tr>
        <w:tc>
          <w:tcPr>
            <w:tcW w:type="dxa" w:w="1200"/>
            <w:shd w:fill="DCE6F1" w:color="auto" w:val="clear"/>
            <w:tcMar>
              <w:top w:type="dxa" w:w="60"/>
              <w:left w:type="dxa" w:w="90"/>
              <w:bottom w:type="dxa" w:w="60"/>
              <w:right w:type="dxa" w:w="90"/>
            </w:tcMar>
            <w:vAlign w:val="center"/>
          </w:tcPr>
          <w:p>
            <w:r>
              <w:rPr>
                <w:color w:val="000000"/>
                <w:sz w:val="18"/>
                <w:szCs w:val="18"/>
              </w:rPr>
              <w:t xml:space="preserve">8787</w:t>
            </w:r>
          </w:p>
        </w:tc>
        <w:tc>
          <w:tcPr>
            <w:tcW w:type="dxa" w:w="3400"/>
            <w:shd w:fill="DCE6F1" w:color="auto" w:val="clear"/>
            <w:tcMar>
              <w:top w:type="dxa" w:w="60"/>
              <w:left w:type="dxa" w:w="90"/>
              <w:bottom w:type="dxa" w:w="60"/>
              <w:right w:type="dxa" w:w="90"/>
            </w:tcMar>
            <w:vAlign w:val="center"/>
          </w:tcPr>
          <w:p>
            <w:r>
              <w:rPr>
                <w:color w:val="000000"/>
                <w:sz w:val="18"/>
                <w:szCs w:val="18"/>
              </w:rPr>
              <w:t xml:space="preserve">Ruby DRb (druby_timeserver)</w:t>
            </w:r>
          </w:p>
        </w:tc>
        <w:tc>
          <w:tcPr>
            <w:tcW w:type="dxa" w:w="4760"/>
            <w:shd w:fill="DCE6F1" w:color="auto" w:val="clear"/>
            <w:tcMar>
              <w:top w:type="dxa" w:w="60"/>
              <w:left w:type="dxa" w:w="90"/>
              <w:bottom w:type="dxa" w:w="60"/>
              <w:right w:type="dxa" w:w="90"/>
            </w:tcMar>
            <w:vAlign w:val="center"/>
          </w:tcPr>
          <w:p>
            <w:r>
              <w:rPr>
                <w:color w:val="000000"/>
                <w:sz w:val="18"/>
                <w:szCs w:val="18"/>
              </w:rPr>
              <w:t xml:space="preserve">Distributed Ruby remote object access; not required</w:t>
            </w:r>
          </w:p>
        </w:tc>
      </w:tr>
    </w:tbl>
    <w:p>
      <w:pPr>
        <w:spacing w:after="160"/>
      </w:pPr>
    </w:p>
    <w:p>
      <w:pPr>
        <w:spacing w:after="120"/>
      </w:pPr>
      <w:r>
        <w:t xml:space="preserve">Because these services were launched from /etc/rc.local rather than managed as init services, disabling them required two actions per service: commenting out the startup line and stopping the currently running process. Verification after a full firewall-disable-and-reboot cycle confirmed all four ports are genuinely closed, not merely firewalled.</w:t>
      </w:r>
    </w:p>
    <w:p>
      <w:pPr>
        <w:pStyle w:val="Heading2"/>
        <w:spacing w:after="100" w:before="220"/>
      </w:pPr>
      <w:r>
        <w:t xml:space="preserve">6.3 Automated Health Check (Task 10)</w:t>
      </w:r>
    </w:p>
    <w:p>
      <w:pPr>
        <w:spacing w:after="120"/>
      </w:pPr>
      <w:r>
        <w:t xml:space="preserve">A pure-Bash health-check script (adapted from a version written by teammate Parker Collins) checks the 7 remediated ports above plus SSH as a reachability gate, using Bash's /dev/tcp pseudo-device with no external dependencies. It reports three states per port (OPEN / CLOSED / FILTERED), not just pass/fail, so it can tell a genuinely-removed service apart from one merely hidden behind the firewall — the exact distinction the Phase 3 verification lesson was about. Result is SECURE only if all 7 monitored ports are non-open and SSH responds.</w:t>
      </w:r>
    </w:p>
    <w:p>
      <w:pPr>
        <w:pStyle w:val="Heading3"/>
        <w:spacing w:after="80" w:before="160"/>
      </w:pPr>
      <w:r>
        <w:t xml:space="preserve">Before / After — team-standard 7-port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shd w:fill="1F3864" w:color="auto" w:val="clear"/>
            <w:tcMar>
              <w:top w:type="dxa" w:w="60"/>
              <w:left w:type="dxa" w:w="90"/>
              <w:bottom w:type="dxa" w:w="60"/>
              <w:right w:type="dxa" w:w="90"/>
            </w:tcMar>
            <w:vAlign w:val="center"/>
          </w:tcPr>
          <w:p>
            <w:r>
              <w:rPr>
                <w:b/>
                <w:bCs/>
                <w:color w:val="FFFFFF"/>
                <w:sz w:val="18"/>
                <w:szCs w:val="18"/>
              </w:rPr>
              <w:t xml:space="preserve">Port / Service</w:t>
            </w:r>
          </w:p>
        </w:tc>
        <w:tc>
          <w:tcPr>
            <w:tcW w:type="dxa" w:w="2880"/>
            <w:shd w:fill="1F3864" w:color="auto" w:val="clear"/>
            <w:tcMar>
              <w:top w:type="dxa" w:w="60"/>
              <w:left w:type="dxa" w:w="90"/>
              <w:bottom w:type="dxa" w:w="60"/>
              <w:right w:type="dxa" w:w="90"/>
            </w:tcMar>
            <w:vAlign w:val="center"/>
          </w:tcPr>
          <w:p>
            <w:r>
              <w:rPr>
                <w:b/>
                <w:bCs/>
                <w:color w:val="FFFFFF"/>
                <w:sz w:val="18"/>
                <w:szCs w:val="18"/>
              </w:rPr>
              <w:t xml:space="preserve">Before</w:t>
            </w:r>
          </w:p>
        </w:tc>
        <w:tc>
          <w:tcPr>
            <w:tcW w:type="dxa" w:w="2880"/>
            <w:shd w:fill="1F3864" w:color="auto" w:val="clear"/>
            <w:tcMar>
              <w:top w:type="dxa" w:w="60"/>
              <w:left w:type="dxa" w:w="90"/>
              <w:bottom w:type="dxa" w:w="60"/>
              <w:right w:type="dxa" w:w="90"/>
            </w:tcMar>
            <w:vAlign w:val="center"/>
          </w:tcPr>
          <w:p>
            <w:r>
              <w:rPr>
                <w:b/>
                <w:bCs/>
                <w:color w:val="FFFFFF"/>
                <w:sz w:val="18"/>
                <w:szCs w:val="18"/>
              </w:rPr>
              <w:t xml:space="preserve">After</w:t>
            </w:r>
          </w:p>
        </w:tc>
      </w:tr>
      <w:tr>
        <w:tc>
          <w:tcPr>
            <w:tcW w:type="dxa" w:w="3600"/>
            <w:tcMar>
              <w:top w:type="dxa" w:w="60"/>
              <w:left w:type="dxa" w:w="90"/>
              <w:bottom w:type="dxa" w:w="60"/>
              <w:right w:type="dxa" w:w="90"/>
            </w:tcMar>
            <w:vAlign w:val="center"/>
          </w:tcPr>
          <w:p>
            <w:r>
              <w:rPr>
                <w:color w:val="000000"/>
                <w:sz w:val="18"/>
                <w:szCs w:val="18"/>
              </w:rPr>
              <w:t xml:space="preserve">21 — vsftpd</w:t>
            </w:r>
          </w:p>
        </w:tc>
        <w:tc>
          <w:tcPr>
            <w:tcW w:type="dxa" w:w="2880"/>
            <w:tcMar>
              <w:top w:type="dxa" w:w="60"/>
              <w:left w:type="dxa" w:w="90"/>
              <w:bottom w:type="dxa" w:w="60"/>
              <w:right w:type="dxa" w:w="90"/>
            </w:tcMar>
            <w:vAlign w:val="center"/>
          </w:tcPr>
          <w:p>
            <w:r>
              <w:rPr>
                <w:color w:val="000000"/>
                <w:sz w:val="18"/>
                <w:szCs w:val="18"/>
              </w:rPr>
              <w:t xml:space="preserve">open</w:t>
            </w:r>
          </w:p>
        </w:tc>
        <w:tc>
          <w:tcPr>
            <w:tcW w:type="dxa" w:w="2880"/>
            <w:tcMar>
              <w:top w:type="dxa" w:w="60"/>
              <w:left w:type="dxa" w:w="90"/>
              <w:bottom w:type="dxa" w:w="60"/>
              <w:right w:type="dxa" w:w="90"/>
            </w:tcMar>
            <w:vAlign w:val="center"/>
          </w:tcPr>
          <w:p>
            <w:r>
              <w:rPr>
                <w:color w:val="000000"/>
                <w:sz w:val="18"/>
                <w:szCs w:val="18"/>
              </w:rPr>
              <w:t xml:space="preserve">closed</w:t>
            </w:r>
          </w:p>
        </w:tc>
      </w:tr>
      <w:tr>
        <w:tc>
          <w:tcPr>
            <w:tcW w:type="dxa" w:w="3600"/>
            <w:shd w:fill="DCE6F1" w:color="auto" w:val="clear"/>
            <w:tcMar>
              <w:top w:type="dxa" w:w="60"/>
              <w:left w:type="dxa" w:w="90"/>
              <w:bottom w:type="dxa" w:w="60"/>
              <w:right w:type="dxa" w:w="90"/>
            </w:tcMar>
            <w:vAlign w:val="center"/>
          </w:tcPr>
          <w:p>
            <w:r>
              <w:rPr>
                <w:color w:val="000000"/>
                <w:sz w:val="18"/>
                <w:szCs w:val="18"/>
              </w:rPr>
              <w:t xml:space="preserve">1524 — Ingreslock</w:t>
            </w:r>
          </w:p>
        </w:tc>
        <w:tc>
          <w:tcPr>
            <w:tcW w:type="dxa" w:w="2880"/>
            <w:shd w:fill="DCE6F1" w:color="auto" w:val="clear"/>
            <w:tcMar>
              <w:top w:type="dxa" w:w="60"/>
              <w:left w:type="dxa" w:w="90"/>
              <w:bottom w:type="dxa" w:w="60"/>
              <w:right w:type="dxa" w:w="90"/>
            </w:tcMar>
            <w:vAlign w:val="center"/>
          </w:tcPr>
          <w:p>
            <w:r>
              <w:rPr>
                <w:color w:val="000000"/>
                <w:sz w:val="18"/>
                <w:szCs w:val="18"/>
              </w:rPr>
              <w:t xml:space="preserve">open</w:t>
            </w:r>
          </w:p>
        </w:tc>
        <w:tc>
          <w:tcPr>
            <w:tcW w:type="dxa" w:w="2880"/>
            <w:shd w:fill="DCE6F1" w:color="auto" w:val="clear"/>
            <w:tcMar>
              <w:top w:type="dxa" w:w="60"/>
              <w:left w:type="dxa" w:w="90"/>
              <w:bottom w:type="dxa" w:w="60"/>
              <w:right w:type="dxa" w:w="90"/>
            </w:tcMar>
            <w:vAlign w:val="center"/>
          </w:tcPr>
          <w:p>
            <w:r>
              <w:rPr>
                <w:color w:val="000000"/>
                <w:sz w:val="18"/>
                <w:szCs w:val="18"/>
              </w:rPr>
              <w:t xml:space="preserve">closed</w:t>
            </w:r>
          </w:p>
        </w:tc>
      </w:tr>
      <w:tr>
        <w:tc>
          <w:tcPr>
            <w:tcW w:type="dxa" w:w="3600"/>
            <w:tcMar>
              <w:top w:type="dxa" w:w="60"/>
              <w:left w:type="dxa" w:w="90"/>
              <w:bottom w:type="dxa" w:w="60"/>
              <w:right w:type="dxa" w:w="90"/>
            </w:tcMar>
            <w:vAlign w:val="center"/>
          </w:tcPr>
          <w:p>
            <w:r>
              <w:rPr>
                <w:color w:val="000000"/>
                <w:sz w:val="18"/>
                <w:szCs w:val="18"/>
              </w:rPr>
              <w:t xml:space="preserve">1099 — Java RMI</w:t>
            </w:r>
          </w:p>
        </w:tc>
        <w:tc>
          <w:tcPr>
            <w:tcW w:type="dxa" w:w="2880"/>
            <w:tcMar>
              <w:top w:type="dxa" w:w="60"/>
              <w:left w:type="dxa" w:w="90"/>
              <w:bottom w:type="dxa" w:w="60"/>
              <w:right w:type="dxa" w:w="90"/>
            </w:tcMar>
            <w:vAlign w:val="center"/>
          </w:tcPr>
          <w:p>
            <w:r>
              <w:rPr>
                <w:color w:val="000000"/>
                <w:sz w:val="18"/>
                <w:szCs w:val="18"/>
              </w:rPr>
              <w:t xml:space="preserve">open</w:t>
            </w:r>
          </w:p>
        </w:tc>
        <w:tc>
          <w:tcPr>
            <w:tcW w:type="dxa" w:w="2880"/>
            <w:tcMar>
              <w:top w:type="dxa" w:w="60"/>
              <w:left w:type="dxa" w:w="90"/>
              <w:bottom w:type="dxa" w:w="60"/>
              <w:right w:type="dxa" w:w="90"/>
            </w:tcMar>
            <w:vAlign w:val="center"/>
          </w:tcPr>
          <w:p>
            <w:r>
              <w:rPr>
                <w:color w:val="000000"/>
                <w:sz w:val="18"/>
                <w:szCs w:val="18"/>
              </w:rPr>
              <w:t xml:space="preserve">closed</w:t>
            </w:r>
          </w:p>
        </w:tc>
      </w:tr>
      <w:tr>
        <w:tc>
          <w:tcPr>
            <w:tcW w:type="dxa" w:w="3600"/>
            <w:shd w:fill="DCE6F1" w:color="auto" w:val="clear"/>
            <w:tcMar>
              <w:top w:type="dxa" w:w="60"/>
              <w:left w:type="dxa" w:w="90"/>
              <w:bottom w:type="dxa" w:w="60"/>
              <w:right w:type="dxa" w:w="90"/>
            </w:tcMar>
            <w:vAlign w:val="center"/>
          </w:tcPr>
          <w:p>
            <w:r>
              <w:rPr>
                <w:color w:val="000000"/>
                <w:sz w:val="18"/>
                <w:szCs w:val="18"/>
              </w:rPr>
              <w:t xml:space="preserve">3632 — distccd</w:t>
            </w:r>
          </w:p>
        </w:tc>
        <w:tc>
          <w:tcPr>
            <w:tcW w:type="dxa" w:w="2880"/>
            <w:shd w:fill="DCE6F1" w:color="auto" w:val="clear"/>
            <w:tcMar>
              <w:top w:type="dxa" w:w="60"/>
              <w:left w:type="dxa" w:w="90"/>
              <w:bottom w:type="dxa" w:w="60"/>
              <w:right w:type="dxa" w:w="90"/>
            </w:tcMar>
            <w:vAlign w:val="center"/>
          </w:tcPr>
          <w:p>
            <w:r>
              <w:rPr>
                <w:color w:val="000000"/>
                <w:sz w:val="18"/>
                <w:szCs w:val="18"/>
              </w:rPr>
              <w:t xml:space="preserve">open</w:t>
            </w:r>
          </w:p>
        </w:tc>
        <w:tc>
          <w:tcPr>
            <w:tcW w:type="dxa" w:w="2880"/>
            <w:shd w:fill="DCE6F1" w:color="auto" w:val="clear"/>
            <w:tcMar>
              <w:top w:type="dxa" w:w="60"/>
              <w:left w:type="dxa" w:w="90"/>
              <w:bottom w:type="dxa" w:w="60"/>
              <w:right w:type="dxa" w:w="90"/>
            </w:tcMar>
            <w:vAlign w:val="center"/>
          </w:tcPr>
          <w:p>
            <w:r>
              <w:rPr>
                <w:color w:val="000000"/>
                <w:sz w:val="18"/>
                <w:szCs w:val="18"/>
              </w:rPr>
              <w:t xml:space="preserve">closed</w:t>
            </w:r>
          </w:p>
        </w:tc>
      </w:tr>
      <w:tr>
        <w:tc>
          <w:tcPr>
            <w:tcW w:type="dxa" w:w="3600"/>
            <w:tcMar>
              <w:top w:type="dxa" w:w="60"/>
              <w:left w:type="dxa" w:w="90"/>
              <w:bottom w:type="dxa" w:w="60"/>
              <w:right w:type="dxa" w:w="90"/>
            </w:tcMar>
            <w:vAlign w:val="center"/>
          </w:tcPr>
          <w:p>
            <w:r>
              <w:rPr>
                <w:color w:val="000000"/>
                <w:sz w:val="18"/>
                <w:szCs w:val="18"/>
              </w:rPr>
              <w:t xml:space="preserve">6667 — UnrealIRCd</w:t>
            </w:r>
          </w:p>
        </w:tc>
        <w:tc>
          <w:tcPr>
            <w:tcW w:type="dxa" w:w="2880"/>
            <w:tcMar>
              <w:top w:type="dxa" w:w="60"/>
              <w:left w:type="dxa" w:w="90"/>
              <w:bottom w:type="dxa" w:w="60"/>
              <w:right w:type="dxa" w:w="90"/>
            </w:tcMar>
            <w:vAlign w:val="center"/>
          </w:tcPr>
          <w:p>
            <w:r>
              <w:rPr>
                <w:color w:val="000000"/>
                <w:sz w:val="18"/>
                <w:szCs w:val="18"/>
              </w:rPr>
              <w:t xml:space="preserve">open</w:t>
            </w:r>
          </w:p>
        </w:tc>
        <w:tc>
          <w:tcPr>
            <w:tcW w:type="dxa" w:w="2880"/>
            <w:tcMar>
              <w:top w:type="dxa" w:w="60"/>
              <w:left w:type="dxa" w:w="90"/>
              <w:bottom w:type="dxa" w:w="60"/>
              <w:right w:type="dxa" w:w="90"/>
            </w:tcMar>
            <w:vAlign w:val="center"/>
          </w:tcPr>
          <w:p>
            <w:r>
              <w:rPr>
                <w:color w:val="000000"/>
                <w:sz w:val="18"/>
                <w:szCs w:val="18"/>
              </w:rPr>
              <w:t xml:space="preserve">closed</w:t>
            </w:r>
          </w:p>
        </w:tc>
      </w:tr>
      <w:tr>
        <w:tc>
          <w:tcPr>
            <w:tcW w:type="dxa" w:w="3600"/>
            <w:shd w:fill="DCE6F1" w:color="auto" w:val="clear"/>
            <w:tcMar>
              <w:top w:type="dxa" w:w="60"/>
              <w:left w:type="dxa" w:w="90"/>
              <w:bottom w:type="dxa" w:w="60"/>
              <w:right w:type="dxa" w:w="90"/>
            </w:tcMar>
            <w:vAlign w:val="center"/>
          </w:tcPr>
          <w:p>
            <w:r>
              <w:rPr>
                <w:color w:val="000000"/>
                <w:sz w:val="18"/>
                <w:szCs w:val="18"/>
              </w:rPr>
              <w:t xml:space="preserve">5900 — VNC</w:t>
            </w:r>
          </w:p>
        </w:tc>
        <w:tc>
          <w:tcPr>
            <w:tcW w:type="dxa" w:w="2880"/>
            <w:shd w:fill="DCE6F1" w:color="auto" w:val="clear"/>
            <w:tcMar>
              <w:top w:type="dxa" w:w="60"/>
              <w:left w:type="dxa" w:w="90"/>
              <w:bottom w:type="dxa" w:w="60"/>
              <w:right w:type="dxa" w:w="90"/>
            </w:tcMar>
            <w:vAlign w:val="center"/>
          </w:tcPr>
          <w:p>
            <w:r>
              <w:rPr>
                <w:color w:val="000000"/>
                <w:sz w:val="18"/>
                <w:szCs w:val="18"/>
              </w:rPr>
              <w:t xml:space="preserve">open</w:t>
            </w:r>
          </w:p>
        </w:tc>
        <w:tc>
          <w:tcPr>
            <w:tcW w:type="dxa" w:w="2880"/>
            <w:shd w:fill="DCE6F1" w:color="auto" w:val="clear"/>
            <w:tcMar>
              <w:top w:type="dxa" w:w="60"/>
              <w:left w:type="dxa" w:w="90"/>
              <w:bottom w:type="dxa" w:w="60"/>
              <w:right w:type="dxa" w:w="90"/>
            </w:tcMar>
            <w:vAlign w:val="center"/>
          </w:tcPr>
          <w:p>
            <w:r>
              <w:rPr>
                <w:color w:val="000000"/>
                <w:sz w:val="18"/>
                <w:szCs w:val="18"/>
              </w:rPr>
              <w:t xml:space="preserve">closed</w:t>
            </w:r>
          </w:p>
        </w:tc>
      </w:tr>
      <w:tr>
        <w:tc>
          <w:tcPr>
            <w:tcW w:type="dxa" w:w="3600"/>
            <w:tcMar>
              <w:top w:type="dxa" w:w="60"/>
              <w:left w:type="dxa" w:w="90"/>
              <w:bottom w:type="dxa" w:w="60"/>
              <w:right w:type="dxa" w:w="90"/>
            </w:tcMar>
            <w:vAlign w:val="center"/>
          </w:tcPr>
          <w:p>
            <w:r>
              <w:rPr>
                <w:color w:val="000000"/>
                <w:sz w:val="18"/>
                <w:szCs w:val="18"/>
              </w:rPr>
              <w:t xml:space="preserve">8787 — Ruby DRb</w:t>
            </w:r>
          </w:p>
        </w:tc>
        <w:tc>
          <w:tcPr>
            <w:tcW w:type="dxa" w:w="2880"/>
            <w:tcMar>
              <w:top w:type="dxa" w:w="60"/>
              <w:left w:type="dxa" w:w="90"/>
              <w:bottom w:type="dxa" w:w="60"/>
              <w:right w:type="dxa" w:w="90"/>
            </w:tcMar>
            <w:vAlign w:val="center"/>
          </w:tcPr>
          <w:p>
            <w:r>
              <w:rPr>
                <w:color w:val="000000"/>
                <w:sz w:val="18"/>
                <w:szCs w:val="18"/>
              </w:rPr>
              <w:t xml:space="preserve">open</w:t>
            </w:r>
          </w:p>
        </w:tc>
        <w:tc>
          <w:tcPr>
            <w:tcW w:type="dxa" w:w="2880"/>
            <w:tcMar>
              <w:top w:type="dxa" w:w="60"/>
              <w:left w:type="dxa" w:w="90"/>
              <w:bottom w:type="dxa" w:w="60"/>
              <w:right w:type="dxa" w:w="90"/>
            </w:tcMar>
            <w:vAlign w:val="center"/>
          </w:tcPr>
          <w:p>
            <w:r>
              <w:rPr>
                <w:color w:val="000000"/>
                <w:sz w:val="18"/>
                <w:szCs w:val="18"/>
              </w:rPr>
              <w:t xml:space="preserve">closed</w:t>
            </w:r>
          </w:p>
        </w:tc>
      </w:tr>
    </w:tbl>
    <w:p>
      <w:pPr>
        <w:spacing w:after="160"/>
      </w:pPr>
    </w:p>
    <w:p>
      <w:pPr>
        <w:spacing w:after="120"/>
      </w:pPr>
      <w:r>
        <w:t xml:space="preserve">The script caught a real regression during testing: a later run found port 5900 (VNC) unexpectedly open again after a respawned Xtightvnc process, which was identified via ss -tulpn and killed, then re-verified SECURE. This is the health check doing exactly its job — catching drift before it shipped as "verified."</w:t>
      </w:r>
    </w:p>
    <w:p>
      <w:pPr>
        <w:pStyle w:val="Heading1"/>
        <w:spacing w:after="140" w:before="320"/>
      </w:pPr>
      <w:r>
        <w:t xml:space="preserve">7. Phase 5 — Report &amp; Present: Lessons Learned</w:t>
      </w:r>
    </w:p>
    <w:p>
      <w:pPr>
        <w:spacing w:after="120"/>
      </w:pPr>
      <w:r>
        <w:t xml:space="preserve">Each team member contributes: one major challenge, one key technical takeaway, and an honest note on how AI helped or hindered the work.</w:t>
      </w:r>
    </w:p>
    <w:p>
      <w:pPr>
        <w:pStyle w:val="Heading2"/>
        <w:spacing w:after="100" w:before="220"/>
      </w:pPr>
      <w:r>
        <w:t xml:space="preserve">Parker Collins</w:t>
      </w:r>
    </w:p>
    <w:p>
      <w:pPr>
        <w:spacing w:after="120"/>
      </w:pPr>
      <w:r>
        <w:rPr>
          <w:b/>
          <w:bCs/>
        </w:rPr>
        <w:t xml:space="preserve">Challenge: </w:t>
      </w:r>
      <w:r>
        <w:t xml:space="preserve">The port 21 service banner reported vsftpd 2.0.8, and the well-known FTP backdoor, CVE-2011-2523, only affects version 2.3.4. On paper that ruled the vulnerability out, and both the AI and the assignment's own example pointed us toward a version that didn't match what we were seeing. The challenge was deciding whether to trust the banner and move on, or to keep digging on a finding that "shouldn't" have been there.</w:t>
      </w:r>
    </w:p>
    <w:p>
      <w:pPr>
        <w:spacing w:after="120"/>
      </w:pPr>
      <w:r>
        <w:rPr>
          <w:b/>
          <w:bCs/>
        </w:rPr>
        <w:t xml:space="preserve">Takeaway: </w:t>
      </w:r>
      <w:r>
        <w:t xml:space="preserve">We ran Nmap's ftp-vsftpd-backdoor script instead of trusting the version string, and it triggered the backdoor and returned uid=0(root). The banner was spoofed. The service was actually the backdoored 2.3.4, and it was the most critical vulnerability on the host, the one we almost dismissed. The lesson is that a service banner is a claim, not proof, and automated version detection can be defeated by an attacker or a deliberately deceptive build. Confirming a finding with an active check rather than a passive read is the difference between catching the most dangerous hole on the box and writing it off as a false positive.</w:t>
      </w:r>
    </w:p>
    <w:p>
      <w:pPr>
        <w:pStyle w:val="Heading2"/>
        <w:spacing w:after="100" w:before="220"/>
      </w:pPr>
      <w:r>
        <w:t xml:space="preserve">Ron Richardson</w:t>
      </w:r>
    </w:p>
    <w:p>
      <w:pPr>
        <w:spacing w:after="120"/>
      </w:pPr>
      <w:r>
        <w:rPr>
          <w:b/>
          <w:bCs/>
        </w:rPr>
        <w:t xml:space="preserve">Challenge: </w:t>
      </w:r>
      <w:r>
        <w:t xml:space="preserve">The Ingreslock backdoor on port 1524 had no entry anywhere in the expected /etc/xinetd.d/ configuration directory — the place every guide says to check. On paper that looked like a dead end, the same trap the vsftpd banner nearly set for the team. The challenge was deciding whether to accept that and move on, or keep digging on a live, open port that had to be coming from somewhere.</w:t>
      </w:r>
    </w:p>
    <w:p>
      <w:pPr>
        <w:spacing w:after="120"/>
      </w:pPr>
      <w:r>
        <w:rPr>
          <w:b/>
          <w:bCs/>
        </w:rPr>
        <w:t xml:space="preserve">Takeaway: </w:t>
      </w:r>
      <w:r>
        <w:t xml:space="preserve">Working backward from the live network state — the process actually holding the port open, then its real startup command — turned up an undocumented -inetd_compat flag pointing to a second, legacy configuration file with zero trace in the modern xinetd tooling. I also made a real methodology mistake along the way: my first "is this port truly closed" test only removed one firewall rule and missed that the firewall's default policy was still blocking everything regardless of that rule, so a passing result was right for the wrong reason. Catching it changed how I verified every fix afterward: fully disable the firewall for a clean test, then restore it immediately.</w:t>
      </w:r>
    </w:p>
    <w:p>
      <w:pPr>
        <w:spacing w:after="120"/>
      </w:pPr>
      <w:r>
        <w:rPr>
          <w:b/>
          <w:bCs/>
        </w:rPr>
        <w:t xml:space="preserve">AI Note: </w:t>
      </w:r>
      <w:r>
        <w:t xml:space="preserve">Claude was useful for narrowing down where to look next and drafting the health-check script, and it directly suggested tracing the live process instead of guessing at more config locations — the approach that actually found the hidden backdoor. It also fell short in a way worth naming: its suggested firewall verification test looked complete and I trusted it at first, but it wasn't checked against how the firewall actually behaves as a whole system — a gap I had to catch myself rather than one the AI flagged. A direct prompt correction — telling it plainly to be specific about evidence-tracking instead of accepting a vague first draft — also fixed a real problem immediately, which was its own lesson in how much prompt precision matters.</w:t>
      </w:r>
    </w:p>
    <w:p>
      <w:pPr>
        <w:pStyle w:val="Heading2"/>
        <w:spacing w:after="100" w:before="220"/>
      </w:pPr>
      <w:r>
        <w:t xml:space="preserve">Faith Telva</w:t>
      </w:r>
    </w:p>
    <w:p>
      <w:pPr>
        <w:spacing w:after="120"/>
      </w:pPr>
      <w:r>
        <w:rPr>
          <w:i/>
          <w:iCs/>
          <w:color w:val="C00000"/>
        </w:rPr>
        <w:t xml:space="preserve">[ Faith: challenge, takeaway, AI note ]</w:t>
      </w:r>
    </w:p>
    <w:p>
      <w:pPr>
        <w:pStyle w:val="Heading2"/>
        <w:spacing w:after="100" w:before="220"/>
      </w:pPr>
      <w:r>
        <w:t xml:space="preserve">Hossain Azim</w:t>
      </w:r>
    </w:p>
    <w:p>
      <w:pPr>
        <w:spacing w:after="120"/>
      </w:pPr>
      <w:r>
        <w:rPr>
          <w:i/>
          <w:iCs/>
          <w:color w:val="C00000"/>
        </w:rPr>
        <w:t xml:space="preserve">[ Hossain: challenge, takeaway, AI note ]</w:t>
      </w:r>
    </w:p>
    <w:p>
      <w:pPr>
        <w:pStyle w:val="Heading2"/>
        <w:spacing w:after="100" w:before="220"/>
      </w:pPr>
      <w:r>
        <w:t xml:space="preserve">Michael Williams</w:t>
      </w:r>
    </w:p>
    <w:p>
      <w:pPr>
        <w:spacing w:after="120"/>
      </w:pPr>
      <w:r>
        <w:rPr>
          <w:i/>
          <w:iCs/>
          <w:color w:val="C00000"/>
        </w:rPr>
        <w:t xml:space="preserve">[ Mike: challenge, takeaway, AI note ]</w:t>
      </w:r>
    </w:p>
    <w:p>
      <w:r>
        <w:br w:type="page"/>
      </w:r>
    </w:p>
    <w:p>
      <w:pPr>
        <w:pStyle w:val="Heading1"/>
        <w:spacing w:after="140" w:before="320"/>
      </w:pPr>
      <w:r>
        <w:t xml:space="preserve">Appendix: Individual Evidence</w:t>
      </w:r>
    </w:p>
    <w:p>
      <w:pPr>
        <w:shd w:fill="FFF2CC" w:color="auto" w:val="clear"/>
        <w:spacing w:after="160" w:before="60"/>
      </w:pPr>
      <w:r>
        <w:rPr>
          <w:i/>
          <w:iCs/>
          <w:color w:val="7F6000"/>
          <w:sz w:val="19"/>
          <w:szCs w:val="19"/>
        </w:rPr>
        <w:t xml:space="preserve">Each member has their own labeled section with their own screenshots — this is a critical pass/fail requirement. If any member's evidence is missing, the section scores zero for the whole team. Confirm all five are complete before export.</w:t>
      </w:r>
    </w:p>
    <w:p>
      <w:pPr>
        <w:pStyle w:val="Heading2"/>
        <w:spacing w:after="100" w:before="220"/>
      </w:pPr>
      <w:r>
        <w:t xml:space="preserve">Appendix A: Parker Collins's Evidence</w:t>
      </w:r>
    </w:p>
    <w:p>
      <w:pPr>
        <w:shd w:fill="F2F2F2" w:color="auto" w:val="clear"/>
        <w:spacing w:after="20" w:before="100"/>
      </w:pPr>
      <w:r>
        <w:drawing>
          <wp:inline distT="0" distB="0" distL="0" distR="0">
            <wp:extent cx="49339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3950" cy="4200525"/>
                    </a:xfrm>
                    <a:prstGeom prst="rect">
                      <a:avLst/>
                    </a:prstGeom>
                  </pic:spPr>
                </pic:pic>
              </a:graphicData>
            </a:graphic>
          </wp:inline>
        </w:drawing>
      </w:r>
    </w:p>
    <w:p>
      <w:pPr>
        <w:spacing w:after="200"/>
      </w:pPr>
      <w:r>
        <w:rPr>
          <w:b/>
          <w:bCs/>
          <w:sz w:val="19"/>
          <w:szCs w:val="19"/>
        </w:rPr>
        <w:t xml:space="preserve">Fig 1: Connectivity Test (ping to 192.168.2.3)</w:t>
      </w:r>
    </w:p>
    <w:p>
      <w:pPr>
        <w:shd w:fill="F2F2F2" w:color="auto" w:val="clear"/>
        <w:spacing w:after="20" w:before="100"/>
      </w:pPr>
      <w:r>
        <w:drawing>
          <wp:inline distT="0" distB="0" distL="0" distR="0">
            <wp:extent cx="49339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724275"/>
                    </a:xfrm>
                    <a:prstGeom prst="rect">
                      <a:avLst/>
                    </a:prstGeom>
                  </pic:spPr>
                </pic:pic>
              </a:graphicData>
            </a:graphic>
          </wp:inline>
        </w:drawing>
      </w:r>
    </w:p>
    <w:p>
      <w:pPr>
        <w:spacing w:after="200"/>
      </w:pPr>
      <w:r>
        <w:rPr>
          <w:b/>
          <w:bCs/>
          <w:sz w:val="19"/>
          <w:szCs w:val="19"/>
        </w:rPr>
        <w:t xml:space="preserve">Fig 2: Scan Results (nmap -sV)</w:t>
      </w:r>
    </w:p>
    <w:p>
      <w:pPr>
        <w:shd w:fill="F2F2F2" w:color="auto" w:val="clear"/>
        <w:spacing w:after="20" w:before="100"/>
      </w:pPr>
      <w:r>
        <w:drawing>
          <wp:inline distT="0" distB="0" distL="0" distR="0">
            <wp:extent cx="49339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3848100"/>
                    </a:xfrm>
                    <a:prstGeom prst="rect">
                      <a:avLst/>
                    </a:prstGeom>
                  </pic:spPr>
                </pic:pic>
              </a:graphicData>
            </a:graphic>
          </wp:inline>
        </w:drawing>
      </w:r>
    </w:p>
    <w:p>
      <w:pPr>
        <w:spacing w:after="200"/>
      </w:pPr>
      <w:r>
        <w:rPr>
          <w:b/>
          <w:bCs/>
          <w:sz w:val="19"/>
          <w:szCs w:val="19"/>
        </w:rPr>
        <w:t xml:space="preserve">Fig 3: Vulnerability Scan (nmap --script vuln)</w:t>
      </w:r>
    </w:p>
    <w:p>
      <w:pPr>
        <w:shd w:fill="F2F2F2" w:color="auto" w:val="clear"/>
        <w:spacing w:after="20" w:before="100"/>
      </w:pPr>
      <w:r>
        <w:drawing>
          <wp:inline distT="0" distB="0" distL="0" distR="0">
            <wp:extent cx="49339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905125"/>
                    </a:xfrm>
                    <a:prstGeom prst="rect">
                      <a:avLst/>
                    </a:prstGeom>
                  </pic:spPr>
                </pic:pic>
              </a:graphicData>
            </a:graphic>
          </wp:inline>
        </w:drawing>
      </w:r>
    </w:p>
    <w:p>
      <w:pPr>
        <w:spacing w:after="200"/>
      </w:pPr>
      <w:r>
        <w:rPr>
          <w:b/>
          <w:bCs/>
          <w:sz w:val="19"/>
          <w:szCs w:val="19"/>
        </w:rPr>
        <w:t xml:space="preserve">Fig 4: AI Threat Profile + prompt iterations</w:t>
      </w:r>
    </w:p>
    <w:p>
      <w:pPr>
        <w:shd w:fill="F2F2F2" w:color="auto" w:val="clear"/>
        <w:spacing w:after="20" w:before="100"/>
      </w:pPr>
      <w:r>
        <w:drawing>
          <wp:inline distT="0" distB="0" distL="0" distR="0">
            <wp:extent cx="49339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2771775"/>
                    </a:xfrm>
                    <a:prstGeom prst="rect">
                      <a:avLst/>
                    </a:prstGeom>
                  </pic:spPr>
                </pic:pic>
              </a:graphicData>
            </a:graphic>
          </wp:inline>
        </w:drawing>
      </w:r>
    </w:p>
    <w:p>
      <w:pPr>
        <w:spacing w:after="200"/>
      </w:pPr>
      <w:r>
        <w:rPr>
          <w:b/>
          <w:bCs/>
          <w:sz w:val="19"/>
          <w:szCs w:val="19"/>
        </w:rPr>
        <w:t xml:space="preserve">Fig 5: NVD verification (CVE-2010-2075, 2007-2447, 2004-2687,</w:t>
      </w:r>
    </w:p>
    <w:p>
      <w:pPr>
        <w:shd w:fill="F2F2F2" w:color="auto" w:val="clear"/>
        <w:spacing w:after="20" w:before="100"/>
      </w:pPr>
      <w:r>
        <w:drawing>
          <wp:inline distT="0" distB="0" distL="0" distR="0">
            <wp:extent cx="49339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676650"/>
                    </a:xfrm>
                    <a:prstGeom prst="rect">
                      <a:avLst/>
                    </a:prstGeom>
                  </pic:spPr>
                </pic:pic>
              </a:graphicData>
            </a:graphic>
          </wp:inline>
        </w:drawing>
      </w:r>
    </w:p>
    <w:p>
      <w:pPr>
        <w:spacing w:after="200"/>
      </w:pPr>
      <w:r>
        <w:rPr>
          <w:b/>
          <w:bCs/>
          <w:sz w:val="19"/>
          <w:szCs w:val="19"/>
        </w:rPr>
        <w:t xml:space="preserve">Fig 6: FTP backdoor confirmed (ftp-vsftpd-backdoor, uid=0 root)</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7: Evidence Locker (ls -l /tmp/evidence)</w:t>
      </w:r>
    </w:p>
    <w:p>
      <w:pPr>
        <w:shd w:fill="F2F2F2" w:color="auto" w:val="clear"/>
        <w:spacing w:after="20" w:before="100"/>
      </w:pPr>
      <w:r>
        <w:drawing>
          <wp:inline distT="0" distB="0" distL="0" distR="0">
            <wp:extent cx="49339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2838450"/>
                    </a:xfrm>
                    <a:prstGeom prst="rect">
                      <a:avLst/>
                    </a:prstGeom>
                  </pic:spPr>
                </pic:pic>
              </a:graphicData>
            </a:graphic>
          </wp:inline>
        </w:drawing>
      </w:r>
    </w:p>
    <w:p>
      <w:pPr>
        <w:spacing w:after="200"/>
      </w:pPr>
      <w:r>
        <w:rPr>
          <w:b/>
          <w:bCs/>
          <w:sz w:val="19"/>
          <w:szCs w:val="19"/>
        </w:rPr>
        <w:t xml:space="preserve">Fig 8: Containment Command (iptables, all four DROP rules)</w:t>
      </w:r>
    </w:p>
    <w:p>
      <w:pPr>
        <w:shd w:fill="F2F2F2" w:color="auto" w:val="clear"/>
        <w:spacing w:after="20" w:before="100"/>
      </w:pPr>
      <w:r>
        <w:drawing>
          <wp:inline distT="0" distB="0" distL="0" distR="0">
            <wp:extent cx="49339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829050"/>
                    </a:xfrm>
                    <a:prstGeom prst="rect">
                      <a:avLst/>
                    </a:prstGeom>
                  </pic:spPr>
                </pic:pic>
              </a:graphicData>
            </a:graphic>
          </wp:inline>
        </w:drawing>
      </w:r>
    </w:p>
    <w:p>
      <w:pPr>
        <w:spacing w:after="200"/>
      </w:pPr>
      <w:r>
        <w:rPr>
          <w:b/>
          <w:bCs/>
          <w:sz w:val="19"/>
          <w:szCs w:val="19"/>
        </w:rPr>
        <w:t xml:space="preserve">Fig 9: Mitigation Verification (ports filtered from Kali)</w:t>
      </w:r>
    </w:p>
    <w:p>
      <w:pPr>
        <w:shd w:fill="F2F2F2" w:color="auto" w:val="clear"/>
        <w:spacing w:after="20" w:before="100"/>
      </w:pPr>
      <w:r>
        <w:drawing>
          <wp:inline distT="0" distB="0" distL="0" distR="0">
            <wp:extent cx="49339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162175"/>
                    </a:xfrm>
                    <a:prstGeom prst="rect">
                      <a:avLst/>
                    </a:prstGeom>
                  </pic:spPr>
                </pic:pic>
              </a:graphicData>
            </a:graphic>
          </wp:inline>
        </w:drawing>
      </w:r>
    </w:p>
    <w:p>
      <w:pPr>
        <w:spacing w:after="200"/>
      </w:pPr>
      <w:r>
        <w:rPr>
          <w:b/>
          <w:bCs/>
          <w:sz w:val="19"/>
          <w:szCs w:val="19"/>
        </w:rPr>
        <w:t xml:space="preserve">Fig 10: Permanent Fix (backdoor removed, port closed after reboot)</w:t>
      </w:r>
    </w:p>
    <w:p>
      <w:pPr>
        <w:shd w:fill="F2F2F2" w:color="auto" w:val="clear"/>
        <w:spacing w:after="20" w:before="100"/>
      </w:pPr>
      <w:r>
        <w:drawing>
          <wp:inline distT="0" distB="0" distL="0" distR="0">
            <wp:extent cx="49339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867025"/>
                    </a:xfrm>
                    <a:prstGeom prst="rect">
                      <a:avLst/>
                    </a:prstGeom>
                  </pic:spPr>
                </pic:pic>
              </a:graphicData>
            </a:graphic>
          </wp:inline>
        </w:drawing>
      </w:r>
    </w:p>
    <w:p>
      <w:pPr>
        <w:spacing w:after="200"/>
      </w:pPr>
      <w:r>
        <w:rPr>
          <w:b/>
          <w:bCs/>
          <w:sz w:val="19"/>
          <w:szCs w:val="19"/>
        </w:rPr>
        <w:t xml:space="preserve">Fig 11: Attack Surface Reduction (extra service disabled)</w:t>
      </w:r>
    </w:p>
    <w:p>
      <w:pPr>
        <w:shd w:fill="F2F2F2" w:color="auto" w:val="clear"/>
        <w:spacing w:after="20" w:before="100"/>
      </w:pPr>
      <w:r>
        <w:drawing>
          <wp:inline distT="0" distB="0" distL="0" distR="0">
            <wp:extent cx="49339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1981200"/>
                    </a:xfrm>
                    <a:prstGeom prst="rect">
                      <a:avLst/>
                    </a:prstGeom>
                  </pic:spPr>
                </pic:pic>
              </a:graphicData>
            </a:graphic>
          </wp:inline>
        </w:drawing>
      </w:r>
    </w:p>
    <w:p>
      <w:pPr>
        <w:spacing w:after="200"/>
      </w:pPr>
      <w:r>
        <w:rPr>
          <w:b/>
          <w:bCs/>
          <w:sz w:val="19"/>
          <w:szCs w:val="19"/>
        </w:rPr>
        <w:t xml:space="preserve">Fig 12: Automated Health Check (script + SECURE output)</w:t>
      </w:r>
    </w:p>
    <w:p>
      <w:pPr>
        <w:pStyle w:val="Heading2"/>
        <w:spacing w:after="100" w:before="220"/>
      </w:pPr>
      <w:r>
        <w:t xml:space="preserve">Appendix B: Ron Richardson's Evidence</w:t>
      </w:r>
    </w:p>
    <w:p>
      <w:pPr>
        <w:shd w:fill="F2F2F2" w:color="auto" w:val="clear"/>
        <w:spacing w:after="20" w:before="100"/>
      </w:pPr>
      <w:r>
        <w:drawing>
          <wp:inline distT="0" distB="0" distL="0" distR="0">
            <wp:extent cx="49339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4210050"/>
                    </a:xfrm>
                    <a:prstGeom prst="rect">
                      <a:avLst/>
                    </a:prstGeom>
                  </pic:spPr>
                </pic:pic>
              </a:graphicData>
            </a:graphic>
          </wp:inline>
        </w:drawing>
      </w:r>
    </w:p>
    <w:p>
      <w:pPr>
        <w:spacing w:after="200"/>
      </w:pPr>
      <w:r>
        <w:rPr>
          <w:b/>
          <w:bCs/>
          <w:sz w:val="19"/>
          <w:szCs w:val="19"/>
        </w:rPr>
        <w:t xml:space="preserve">Fig 1: Connectivity Test</w:t>
      </w:r>
    </w:p>
    <w:p>
      <w:pPr>
        <w:shd w:fill="F2F2F2" w:color="auto" w:val="clear"/>
        <w:spacing w:after="20" w:before="100"/>
      </w:pPr>
      <w:r>
        <w:drawing>
          <wp:inline distT="0" distB="0" distL="0" distR="0">
            <wp:extent cx="383857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38575" cy="5124450"/>
                    </a:xfrm>
                    <a:prstGeom prst="rect">
                      <a:avLst/>
                    </a:prstGeom>
                  </pic:spPr>
                </pic:pic>
              </a:graphicData>
            </a:graphic>
          </wp:inline>
        </w:drawing>
      </w:r>
    </w:p>
    <w:p>
      <w:pPr>
        <w:spacing w:after="200"/>
      </w:pPr>
      <w:r>
        <w:rPr>
          <w:b/>
          <w:bCs/>
          <w:sz w:val="19"/>
          <w:szCs w:val="19"/>
        </w:rPr>
        <w:t xml:space="preserve">Fig 2: Scan Results</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3: Vulnerability Scan</w:t>
      </w:r>
    </w:p>
    <w:p>
      <w:pPr>
        <w:shd w:fill="F2F2F2" w:color="auto" w:val="clear"/>
        <w:spacing w:after="20" w:before="100"/>
      </w:pPr>
      <w:r>
        <w:drawing>
          <wp:inline distT="0" distB="0" distL="0" distR="0">
            <wp:extent cx="49339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2600325"/>
                    </a:xfrm>
                    <a:prstGeom prst="rect">
                      <a:avLst/>
                    </a:prstGeom>
                  </pic:spPr>
                </pic:pic>
              </a:graphicData>
            </a:graphic>
          </wp:inline>
        </w:drawing>
      </w:r>
      <w:r>
        <w:drawing>
          <wp:inline distT="0" distB="0" distL="0" distR="0">
            <wp:extent cx="49339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600325"/>
                    </a:xfrm>
                    <a:prstGeom prst="rect">
                      <a:avLst/>
                    </a:prstGeom>
                  </pic:spPr>
                </pic:pic>
              </a:graphicData>
            </a:graphic>
          </wp:inline>
        </w:drawing>
      </w:r>
      <w:r>
        <w:drawing>
          <wp:inline distT="0" distB="0" distL="0" distR="0">
            <wp:extent cx="49339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3114675"/>
                    </a:xfrm>
                    <a:prstGeom prst="rect">
                      <a:avLst/>
                    </a:prstGeom>
                  </pic:spPr>
                </pic:pic>
              </a:graphicData>
            </a:graphic>
          </wp:inline>
        </w:drawing>
      </w:r>
    </w:p>
    <w:p>
      <w:pPr>
        <w:spacing w:after="200"/>
      </w:pPr>
      <w:r>
        <w:rPr>
          <w:b/>
          <w:bCs/>
          <w:sz w:val="19"/>
          <w:szCs w:val="19"/>
        </w:rPr>
        <w:t xml:space="preserve">Fig 4: AI Threat Intel + NVD verification</w:t>
      </w:r>
    </w:p>
    <w:p>
      <w:pPr>
        <w:shd w:fill="F2F2F2" w:color="auto" w:val="clear"/>
        <w:spacing w:after="20" w:before="100"/>
      </w:pPr>
      <w:r>
        <w:drawing>
          <wp:inline distT="0" distB="0" distL="0" distR="0">
            <wp:extent cx="49339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3638550"/>
                    </a:xfrm>
                    <a:prstGeom prst="rect">
                      <a:avLst/>
                    </a:prstGeom>
                  </pic:spPr>
                </pic:pic>
              </a:graphicData>
            </a:graphic>
          </wp:inline>
        </w:drawing>
      </w:r>
    </w:p>
    <w:p>
      <w:pPr>
        <w:spacing w:after="200"/>
      </w:pPr>
      <w:r>
        <w:rPr>
          <w:b/>
          <w:bCs/>
          <w:sz w:val="19"/>
          <w:szCs w:val="19"/>
        </w:rPr>
        <w:t xml:space="preserve">Fig 5: Evidence Locker</w:t>
      </w:r>
    </w:p>
    <w:p>
      <w:pPr>
        <w:shd w:fill="F2F2F2" w:color="auto" w:val="clear"/>
        <w:spacing w:after="20" w:before="100"/>
      </w:pPr>
      <w:r>
        <w:drawing>
          <wp:inline distT="0" distB="0" distL="0" distR="0">
            <wp:extent cx="49339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3552825"/>
                    </a:xfrm>
                    <a:prstGeom prst="rect">
                      <a:avLst/>
                    </a:prstGeom>
                  </pic:spPr>
                </pic:pic>
              </a:graphicData>
            </a:graphic>
          </wp:inline>
        </w:drawing>
      </w:r>
    </w:p>
    <w:p>
      <w:pPr>
        <w:spacing w:after="200"/>
      </w:pPr>
      <w:r>
        <w:rPr>
          <w:b/>
          <w:bCs/>
          <w:sz w:val="19"/>
          <w:szCs w:val="19"/>
        </w:rPr>
        <w:t xml:space="preserve">Fig 6: Containment Command</w:t>
      </w:r>
    </w:p>
    <w:p>
      <w:pPr>
        <w:shd w:fill="F2F2F2" w:color="auto" w:val="clear"/>
        <w:spacing w:after="20" w:before="100"/>
      </w:pPr>
      <w:r>
        <w:drawing>
          <wp:inline distT="0" distB="0" distL="0" distR="0">
            <wp:extent cx="49339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3000375"/>
                    </a:xfrm>
                    <a:prstGeom prst="rect">
                      <a:avLst/>
                    </a:prstGeom>
                  </pic:spPr>
                </pic:pic>
              </a:graphicData>
            </a:graphic>
          </wp:inline>
        </w:drawing>
      </w:r>
    </w:p>
    <w:p>
      <w:pPr>
        <w:spacing w:after="200"/>
      </w:pPr>
      <w:r>
        <w:rPr>
          <w:b/>
          <w:bCs/>
          <w:sz w:val="19"/>
          <w:szCs w:val="19"/>
        </w:rPr>
        <w:t xml:space="preserve">Fig 7: Mitigation Verification</w:t>
      </w:r>
    </w:p>
    <w:p>
      <w:pPr>
        <w:shd w:fill="F2F2F2" w:color="auto" w:val="clear"/>
        <w:spacing w:after="20" w:before="100"/>
      </w:pPr>
      <w:r>
        <w:drawing>
          <wp:inline distT="0" distB="0" distL="0" distR="0">
            <wp:extent cx="49339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3276600"/>
                    </a:xfrm>
                    <a:prstGeom prst="rect">
                      <a:avLst/>
                    </a:prstGeom>
                  </pic:spPr>
                </pic:pic>
              </a:graphicData>
            </a:graphic>
          </wp:inline>
        </w:drawing>
      </w:r>
      <w:r>
        <w:drawing>
          <wp:inline distT="0" distB="0" distL="0" distR="0">
            <wp:extent cx="49339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3950" cy="2933700"/>
                    </a:xfrm>
                    <a:prstGeom prst="rect">
                      <a:avLst/>
                    </a:prstGeom>
                  </pic:spPr>
                </pic:pic>
              </a:graphicData>
            </a:graphic>
          </wp:inline>
        </w:drawing>
      </w:r>
    </w:p>
    <w:p>
      <w:pPr>
        <w:spacing w:after="200"/>
      </w:pPr>
      <w:r>
        <w:rPr>
          <w:b/>
          <w:bCs/>
          <w:sz w:val="19"/>
          <w:szCs w:val="19"/>
        </w:rPr>
        <w:t xml:space="preserve">Fig 8: Permanent Fix</w:t>
      </w:r>
    </w:p>
    <w:p>
      <w:pPr>
        <w:shd w:fill="F2F2F2" w:color="auto" w:val="clear"/>
        <w:spacing w:after="20" w:before="100"/>
      </w:pPr>
      <w:r>
        <w:drawing>
          <wp:inline distT="0" distB="0" distL="0" distR="0">
            <wp:extent cx="49339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2933700"/>
                    </a:xfrm>
                    <a:prstGeom prst="rect">
                      <a:avLst/>
                    </a:prstGeom>
                  </pic:spPr>
                </pic:pic>
              </a:graphicData>
            </a:graphic>
          </wp:inline>
        </w:drawing>
      </w:r>
      <w:r>
        <w:drawing>
          <wp:inline distT="0" distB="0" distL="0" distR="0">
            <wp:extent cx="49339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33950" cy="1828800"/>
                    </a:xfrm>
                    <a:prstGeom prst="rect">
                      <a:avLst/>
                    </a:prstGeom>
                  </pic:spPr>
                </pic:pic>
              </a:graphicData>
            </a:graphic>
          </wp:inline>
        </w:drawing>
      </w:r>
    </w:p>
    <w:p>
      <w:pPr>
        <w:spacing w:after="200"/>
      </w:pPr>
      <w:r>
        <w:rPr>
          <w:b/>
          <w:bCs/>
          <w:sz w:val="19"/>
          <w:szCs w:val="19"/>
        </w:rPr>
        <w:t xml:space="preserve">Fig 9: Attack Surface Reduction</w:t>
      </w:r>
    </w:p>
    <w:p>
      <w:pPr>
        <w:shd w:fill="F2F2F2" w:color="auto" w:val="clear"/>
        <w:spacing w:after="20" w:before="100"/>
      </w:pPr>
      <w:r>
        <w:drawing>
          <wp:inline distT="0" distB="0" distL="0" distR="0">
            <wp:extent cx="49339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33950" cy="1476375"/>
                    </a:xfrm>
                    <a:prstGeom prst="rect">
                      <a:avLst/>
                    </a:prstGeom>
                  </pic:spPr>
                </pic:pic>
              </a:graphicData>
            </a:graphic>
          </wp:inline>
        </w:drawing>
      </w:r>
    </w:p>
    <w:p>
      <w:pPr>
        <w:spacing w:after="200"/>
      </w:pPr>
      <w:r>
        <w:rPr>
          <w:b/>
          <w:bCs/>
          <w:sz w:val="19"/>
          <w:szCs w:val="19"/>
        </w:rPr>
        <w:t xml:space="preserve">Fig 10: Automated Health Check</w:t>
      </w:r>
    </w:p>
    <w:p>
      <w:pPr>
        <w:pStyle w:val="Heading2"/>
        <w:spacing w:after="100" w:before="220"/>
      </w:pPr>
      <w:r>
        <w:t xml:space="preserve">Appendix C: Faith Telva's Evidence</w:t>
      </w:r>
    </w:p>
    <w:p>
      <w:pPr>
        <w:shd w:fill="F2F2F2" w:color="auto" w:val="clear"/>
        <w:spacing w:after="20" w:before="100"/>
      </w:pPr>
      <w:r>
        <w:drawing>
          <wp:inline distT="0" distB="0" distL="0" distR="0">
            <wp:extent cx="49339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33950" cy="2800350"/>
                    </a:xfrm>
                    <a:prstGeom prst="rect">
                      <a:avLst/>
                    </a:prstGeom>
                  </pic:spPr>
                </pic:pic>
              </a:graphicData>
            </a:graphic>
          </wp:inline>
        </w:drawing>
      </w:r>
    </w:p>
    <w:p>
      <w:pPr>
        <w:spacing w:after="200"/>
      </w:pPr>
      <w:r>
        <w:rPr>
          <w:b/>
          <w:bCs/>
          <w:sz w:val="19"/>
          <w:szCs w:val="19"/>
        </w:rPr>
        <w:t xml:space="preserve">Fig 1: Connectivity Test</w:t>
      </w:r>
    </w:p>
    <w:p>
      <w:pPr>
        <w:shd w:fill="F2F2F2" w:color="auto" w:val="clear"/>
        <w:spacing w:after="20" w:before="100"/>
      </w:pPr>
      <w:r>
        <w:drawing>
          <wp:inline distT="0" distB="0" distL="0" distR="0">
            <wp:extent cx="49339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33950" cy="3819525"/>
                    </a:xfrm>
                    <a:prstGeom prst="rect">
                      <a:avLst/>
                    </a:prstGeom>
                  </pic:spPr>
                </pic:pic>
              </a:graphicData>
            </a:graphic>
          </wp:inline>
        </w:drawing>
      </w:r>
    </w:p>
    <w:p>
      <w:pPr>
        <w:spacing w:after="200"/>
      </w:pPr>
      <w:r>
        <w:rPr>
          <w:b/>
          <w:bCs/>
          <w:sz w:val="19"/>
          <w:szCs w:val="19"/>
        </w:rPr>
        <w:t xml:space="preserve">Fig 2: Scan Results</w:t>
      </w:r>
    </w:p>
    <w:p>
      <w:pPr>
        <w:shd w:fill="F2F2F2" w:color="auto" w:val="clear"/>
        <w:spacing w:after="20" w:before="100"/>
      </w:pPr>
      <w:r>
        <w:drawing>
          <wp:inline distT="0" distB="0" distL="0" distR="0">
            <wp:extent cx="49339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33950" cy="3838575"/>
                    </a:xfrm>
                    <a:prstGeom prst="rect">
                      <a:avLst/>
                    </a:prstGeom>
                  </pic:spPr>
                </pic:pic>
              </a:graphicData>
            </a:graphic>
          </wp:inline>
        </w:drawing>
      </w:r>
    </w:p>
    <w:p>
      <w:pPr>
        <w:spacing w:after="200"/>
      </w:pPr>
      <w:r>
        <w:rPr>
          <w:b/>
          <w:bCs/>
          <w:sz w:val="19"/>
          <w:szCs w:val="19"/>
        </w:rPr>
        <w:t xml:space="preserve">Fig 3: Vulnerability Scan</w:t>
      </w:r>
    </w:p>
    <w:p>
      <w:pPr>
        <w:shd w:fill="F2F2F2" w:color="auto" w:val="clear"/>
        <w:spacing w:after="20" w:before="100"/>
      </w:pPr>
      <w:r>
        <w:drawing>
          <wp:inline distT="0" distB="0" distL="0" distR="0">
            <wp:extent cx="49339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33950" cy="1609725"/>
                    </a:xfrm>
                    <a:prstGeom prst="rect">
                      <a:avLst/>
                    </a:prstGeom>
                  </pic:spPr>
                </pic:pic>
              </a:graphicData>
            </a:graphic>
          </wp:inline>
        </w:drawing>
      </w:r>
    </w:p>
    <w:p>
      <w:pPr>
        <w:spacing w:after="200"/>
      </w:pPr>
      <w:r>
        <w:rPr>
          <w:b/>
          <w:bCs/>
          <w:sz w:val="19"/>
          <w:szCs w:val="19"/>
        </w:rPr>
        <w:t xml:space="preserve">Fig 4: AI Threat Intel + NVD verification</w:t>
      </w:r>
    </w:p>
    <w:p>
      <w:pPr>
        <w:shd w:fill="F2F2F2" w:color="auto" w:val="clear"/>
        <w:spacing w:after="20" w:before="100"/>
      </w:pPr>
      <w:r>
        <w:drawing>
          <wp:inline distT="0" distB="0" distL="0" distR="0">
            <wp:extent cx="49339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33950" cy="1800225"/>
                    </a:xfrm>
                    <a:prstGeom prst="rect">
                      <a:avLst/>
                    </a:prstGeom>
                  </pic:spPr>
                </pic:pic>
              </a:graphicData>
            </a:graphic>
          </wp:inline>
        </w:drawing>
      </w:r>
    </w:p>
    <w:p>
      <w:pPr>
        <w:spacing w:after="200"/>
      </w:pPr>
      <w:r>
        <w:rPr>
          <w:b/>
          <w:bCs/>
          <w:sz w:val="19"/>
          <w:szCs w:val="19"/>
        </w:rPr>
        <w:t xml:space="preserve">Fig 5: Evidence Locker</w:t>
      </w:r>
    </w:p>
    <w:p>
      <w:pPr>
        <w:shd w:fill="F2F2F2" w:color="auto" w:val="clear"/>
        <w:spacing w:after="20" w:before="100"/>
      </w:pPr>
      <w:r>
        <w:drawing>
          <wp:inline distT="0" distB="0" distL="0" distR="0">
            <wp:extent cx="49339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33950" cy="3305175"/>
                    </a:xfrm>
                    <a:prstGeom prst="rect">
                      <a:avLst/>
                    </a:prstGeom>
                  </pic:spPr>
                </pic:pic>
              </a:graphicData>
            </a:graphic>
          </wp:inline>
        </w:drawing>
      </w:r>
    </w:p>
    <w:p>
      <w:pPr>
        <w:spacing w:after="200"/>
      </w:pPr>
      <w:r>
        <w:rPr>
          <w:b/>
          <w:bCs/>
          <w:sz w:val="19"/>
          <w:szCs w:val="19"/>
        </w:rPr>
        <w:t xml:space="preserve">Fig 6: Containment Command</w:t>
      </w:r>
    </w:p>
    <w:p>
      <w:pPr>
        <w:shd w:fill="F2F2F2" w:color="auto" w:val="clear"/>
        <w:spacing w:after="20" w:before="100"/>
      </w:pPr>
      <w:r>
        <w:drawing>
          <wp:inline distT="0" distB="0" distL="0" distR="0">
            <wp:extent cx="49339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33950" cy="2581275"/>
                    </a:xfrm>
                    <a:prstGeom prst="rect">
                      <a:avLst/>
                    </a:prstGeom>
                  </pic:spPr>
                </pic:pic>
              </a:graphicData>
            </a:graphic>
          </wp:inline>
        </w:drawing>
      </w:r>
    </w:p>
    <w:p>
      <w:pPr>
        <w:spacing w:after="200"/>
      </w:pPr>
      <w:r>
        <w:rPr>
          <w:b/>
          <w:bCs/>
          <w:sz w:val="19"/>
          <w:szCs w:val="19"/>
        </w:rPr>
        <w:t xml:space="preserve">Fig 7: Mitigation Verification</w:t>
      </w:r>
    </w:p>
    <w:p>
      <w:pPr>
        <w:shd w:fill="F2F2F2" w:color="auto" w:val="clear"/>
        <w:spacing w:after="20" w:before="100"/>
      </w:pPr>
      <w:r>
        <w:drawing>
          <wp:inline distT="0" distB="0" distL="0" distR="0">
            <wp:extent cx="49339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2095500"/>
                    </a:xfrm>
                    <a:prstGeom prst="rect">
                      <a:avLst/>
                    </a:prstGeom>
                  </pic:spPr>
                </pic:pic>
              </a:graphicData>
            </a:graphic>
          </wp:inline>
        </w:drawing>
      </w:r>
    </w:p>
    <w:p>
      <w:pPr>
        <w:spacing w:after="200"/>
      </w:pPr>
      <w:r>
        <w:rPr>
          <w:b/>
          <w:bCs/>
          <w:sz w:val="19"/>
          <w:szCs w:val="19"/>
        </w:rPr>
        <w:t xml:space="preserve">Fig 8: Permanent Fix</w:t>
      </w:r>
    </w:p>
    <w:p>
      <w:pPr>
        <w:shd w:fill="F2F2F2" w:color="auto" w:val="clear"/>
        <w:spacing w:after="20" w:before="100"/>
      </w:pPr>
      <w:r>
        <w:drawing>
          <wp:inline distT="0" distB="0" distL="0" distR="0">
            <wp:extent cx="49339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33950" cy="2400300"/>
                    </a:xfrm>
                    <a:prstGeom prst="rect">
                      <a:avLst/>
                    </a:prstGeom>
                  </pic:spPr>
                </pic:pic>
              </a:graphicData>
            </a:graphic>
          </wp:inline>
        </w:drawing>
      </w:r>
    </w:p>
    <w:p>
      <w:pPr>
        <w:spacing w:after="200"/>
      </w:pPr>
      <w:r>
        <w:rPr>
          <w:b/>
          <w:bCs/>
          <w:sz w:val="19"/>
          <w:szCs w:val="19"/>
        </w:rPr>
        <w:t xml:space="preserve">Fig 9: Attack Surface Reduction</w:t>
      </w:r>
    </w:p>
    <w:p>
      <w:pPr>
        <w:shd w:fill="F2F2F2" w:color="auto" w:val="clear"/>
        <w:spacing w:after="20" w:before="100"/>
      </w:pPr>
      <w:r>
        <w:drawing>
          <wp:inline distT="0" distB="0" distL="0" distR="0">
            <wp:extent cx="49339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33950" cy="2990850"/>
                    </a:xfrm>
                    <a:prstGeom prst="rect">
                      <a:avLst/>
                    </a:prstGeom>
                  </pic:spPr>
                </pic:pic>
              </a:graphicData>
            </a:graphic>
          </wp:inline>
        </w:drawing>
      </w:r>
    </w:p>
    <w:p>
      <w:pPr>
        <w:spacing w:after="200"/>
      </w:pPr>
      <w:r>
        <w:rPr>
          <w:b/>
          <w:bCs/>
          <w:sz w:val="19"/>
          <w:szCs w:val="19"/>
        </w:rPr>
        <w:t xml:space="preserve">Fig 10: Automated Health Check</w:t>
      </w:r>
    </w:p>
    <w:p>
      <w:pPr>
        <w:pStyle w:val="Heading2"/>
        <w:spacing w:after="100" w:before="220"/>
      </w:pPr>
      <w:r>
        <w:t xml:space="preserve">Appendix D: Hossain Azim's Evidence</w:t>
      </w:r>
    </w:p>
    <w:p>
      <w:pPr>
        <w:shd w:fill="FFF2CC" w:color="auto" w:val="clear"/>
        <w:spacing w:after="160" w:before="60"/>
      </w:pPr>
      <w:r>
        <w:rPr>
          <w:i/>
          <w:iCs/>
          <w:color w:val="7F6000"/>
          <w:sz w:val="19"/>
          <w:szCs w:val="19"/>
        </w:rPr>
        <w:t xml:space="preserve">Empty — Hossain still needs to paste in his own screenshots for all 10 figures below.</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1: Connectivity Test</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2: Scan Results</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3: Vulnerability Scan</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4: AI Threat Intel + NVD verification</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5: Evidence Locker</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6: Containment Command</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7: Mitigation Verification</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8: Permanent Fix</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9: Attack Surface Reduction</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10: Automated Health Check</w:t>
      </w:r>
    </w:p>
    <w:p>
      <w:pPr>
        <w:pStyle w:val="Heading2"/>
        <w:spacing w:after="100" w:before="220"/>
      </w:pPr>
      <w:r>
        <w:t xml:space="preserve">Appendix E: Michael Williams's Evidence</w:t>
      </w:r>
    </w:p>
    <w:p>
      <w:pPr>
        <w:shd w:fill="FFF2CC" w:color="auto" w:val="clear"/>
        <w:spacing w:after="160" w:before="60"/>
      </w:pPr>
      <w:r>
        <w:rPr>
          <w:i/>
          <w:iCs/>
          <w:color w:val="7F6000"/>
          <w:sz w:val="19"/>
          <w:szCs w:val="19"/>
        </w:rPr>
        <w:t xml:space="preserve">Empty — Mike still needs to paste in his own screenshots for all 10 figures below.</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1: Connectivity Test</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2: Scan Results</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3: Vulnerability Scan</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4: AI Threat Intel + NVD verification</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5: Evidence Locker</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6: Containment Command</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7: Mitigation Verification</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8: Permanent Fix</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9: Attack Surface Reduction</w:t>
      </w:r>
    </w:p>
    <w:p>
      <w:pPr>
        <w:shd w:fill="F2F2F2" w:color="auto" w:val="clear"/>
        <w:spacing w:after="20" w:before="100"/>
      </w:pPr>
      <w:r>
        <w:rPr>
          <w:i/>
          <w:iCs/>
          <w:color w:val="C00000"/>
        </w:rPr>
        <w:t xml:space="preserve">[ Screenshot not yet provided ]</w:t>
      </w:r>
    </w:p>
    <w:p>
      <w:pPr>
        <w:spacing w:after="200"/>
      </w:pPr>
      <w:r>
        <w:rPr>
          <w:b/>
          <w:bCs/>
          <w:sz w:val="19"/>
          <w:szCs w:val="19"/>
        </w:rPr>
        <w:t xml:space="preserve">Fig 10: Automated Health Check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e76763465b474bd6d66ac870d0c822653035e0.png"/><Relationship Id="rId8" Type="http://schemas.openxmlformats.org/officeDocument/2006/relationships/image" Target="media/7c12893b149015d53cb7f4f5a2b084f5d60d6652.png"/><Relationship Id="rId9" Type="http://schemas.openxmlformats.org/officeDocument/2006/relationships/image" Target="media/7ef5728947b488ffb34c53b2f89916cf3e96e1d8.png"/><Relationship Id="rId10" Type="http://schemas.openxmlformats.org/officeDocument/2006/relationships/image" Target="media/ca0611ec71ad1fd17c87fd847819dd583b5a0721.png"/><Relationship Id="rId11" Type="http://schemas.openxmlformats.org/officeDocument/2006/relationships/image" Target="media/5f2de23a1d82829d0e8c25c8eb7badcd32e50213.png"/><Relationship Id="rId12" Type="http://schemas.openxmlformats.org/officeDocument/2006/relationships/image" Target="media/025a0a5ca0546939212a2d491bbfa828a7d433c0.png"/><Relationship Id="rId13" Type="http://schemas.openxmlformats.org/officeDocument/2006/relationships/image" Target="media/b5d56467079f5f7f00477a75651bde327e04d095.png"/><Relationship Id="rId14" Type="http://schemas.openxmlformats.org/officeDocument/2006/relationships/image" Target="media/0a7d0f09f9dd3e2cd5e56a2b61973ef8da4f8c46.png"/><Relationship Id="rId15" Type="http://schemas.openxmlformats.org/officeDocument/2006/relationships/image" Target="media/237d0f69b240b7c0e4920093489b1cd3f62c445a.png"/><Relationship Id="rId16" Type="http://schemas.openxmlformats.org/officeDocument/2006/relationships/image" Target="media/595550271d719d0044376d75797628b77af06749.png"/><Relationship Id="rId17" Type="http://schemas.openxmlformats.org/officeDocument/2006/relationships/image" Target="media/f33e56a0e52141284351ecb64fabe945c141b8c9.png"/><Relationship Id="rId18" Type="http://schemas.openxmlformats.org/officeDocument/2006/relationships/image" Target="media/4fbae30188cacf113561b231d907abcbbc3b6ef4.png"/><Relationship Id="rId19" Type="http://schemas.openxmlformats.org/officeDocument/2006/relationships/image" Target="media/a0f4b4abbbb5128b3e038545e0c6b9f3b03d8a92.png"/><Relationship Id="rId20" Type="http://schemas.openxmlformats.org/officeDocument/2006/relationships/image" Target="media/ce3ac43ff5b1195583df2ee33d8c5cf0544fffbb.png"/><Relationship Id="rId21" Type="http://schemas.openxmlformats.org/officeDocument/2006/relationships/image" Target="media/26e3941edc010d94a8e0092bf3aac42649fd0308.png"/><Relationship Id="rId22" Type="http://schemas.openxmlformats.org/officeDocument/2006/relationships/image" Target="media/cf92b343d122747628427f45a91e992ec2f5b551.png"/><Relationship Id="rId23" Type="http://schemas.openxmlformats.org/officeDocument/2006/relationships/image" Target="media/ac4fb2589e95c7fbacbf53d2107a2be6b720afbe.png"/><Relationship Id="rId24" Type="http://schemas.openxmlformats.org/officeDocument/2006/relationships/image" Target="media/3556c69022a6abf3a92e2c78099a33ba7137b692.png"/><Relationship Id="rId25" Type="http://schemas.openxmlformats.org/officeDocument/2006/relationships/image" Target="media/1456435b7e4273ffac9f8527291a8d1466c96fa5.png"/><Relationship Id="rId26" Type="http://schemas.openxmlformats.org/officeDocument/2006/relationships/image" Target="media/ffddc6b50bb2985d4efdb826997519f3da3f59a0.png"/><Relationship Id="rId27" Type="http://schemas.openxmlformats.org/officeDocument/2006/relationships/image" Target="media/c0c3188482ae904075c5abac6a5a5f545a44d9ca.png"/><Relationship Id="rId28" Type="http://schemas.openxmlformats.org/officeDocument/2006/relationships/image" Target="media/023acb2fdff83d4ab73bfed6ab2b35dd9d82b186.png"/><Relationship Id="rId29" Type="http://schemas.openxmlformats.org/officeDocument/2006/relationships/image" Target="media/7d85ea12abf9792643654b8c63e85728762c22d9.png"/><Relationship Id="rId30" Type="http://schemas.openxmlformats.org/officeDocument/2006/relationships/image" Target="media/c0f2dbfa8f2663cabd97dd95aa0f686de58534fc.png"/><Relationship Id="rId31" Type="http://schemas.openxmlformats.org/officeDocument/2006/relationships/image" Target="media/a72495afb2e7a391358bdde94c23786c1a33ea62.png"/><Relationship Id="rId32" Type="http://schemas.openxmlformats.org/officeDocument/2006/relationships/image" Target="media/275d3f9db292c4b61b9ca00c1c6068628017ab96.png"/><Relationship Id="rId33" Type="http://schemas.openxmlformats.org/officeDocument/2006/relationships/image" Target="media/01d09638cccafe7132bb00224df2b73452aab00b.png"/><Relationship Id="rId34" Type="http://schemas.openxmlformats.org/officeDocument/2006/relationships/image" Target="media/eca32d39eb82545f0d0c4cf0d6ee5f2d89d34578.png"/><Relationship Id="rId35" Type="http://schemas.openxmlformats.org/officeDocument/2006/relationships/image" Target="media/e183ad7f9f052241089de4fa7132fec1f2d75635.png"/><Relationship Id="rId36" Type="http://schemas.openxmlformats.org/officeDocument/2006/relationships/image" Target="media/0a291ddf3f5f1eeebeae662859f53fe04e48c24c.png"/><Relationship Id="rId37" Type="http://schemas.openxmlformats.org/officeDocument/2006/relationships/image" Target="media/d12c00ae9569d9b10ec57c0d8c147f7153ef49e1.png"/><Relationship Id="rId38" Type="http://schemas.openxmlformats.org/officeDocument/2006/relationships/image" Target="media/bc2067ec5418ada69e7e6487cb692565c978fc84.png"/><Relationship Id="rId39" Type="http://schemas.openxmlformats.org/officeDocument/2006/relationships/image" Target="media/24161a6d055afd808e28a69f2742b6c0fc50b066.png"/><Relationship Id="rId40" Type="http://schemas.openxmlformats.org/officeDocument/2006/relationships/image" Target="media/ff40869d4428634c3ffc68163182b6d1c179ef91.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2026-09-21T21:33:54.230Z</dcterms:created>
  <dcterms:modified xsi:type="dcterms:W3CDTF">2026-09-21T21:33:54.230Z</dcterms:modified>
</cp:coreProperties>
</file>

<file path=docProps/custom.xml><?xml version="1.0" encoding="utf-8"?>
<Properties xmlns="http://schemas.openxmlformats.org/officeDocument/2006/custom-properties" xmlns:vt="http://schemas.openxmlformats.org/officeDocument/2006/docPropsVTypes"/>
</file>