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NVISC / NVVM Compiler Bridge Toolchain Specification v0.1</w:t>
      </w:r>
    </w:p>
    <w:p>
      <w:pPr>
        <w:jc w:val="center"/>
      </w:pPr>
      <w:r>
        <w:rPr>
          <w:i/>
          <w:sz w:val="20"/>
        </w:rPr>
        <w:t>NVASM -&gt; Semantic Mutation Graph -&gt; NVIR -&gt; NVOBJ -&gt; RTL Test Vectors</w:t>
      </w:r>
    </w:p>
    <w:p>
      <w:pPr>
        <w:pStyle w:val="Heading1"/>
      </w:pPr>
      <w:r>
        <w:t>1. Purpose</w:t>
      </w:r>
    </w:p>
    <w:p>
      <w:r>
        <w:t>This document defines the NVISC Compiler Bridge: the software toolchain layer that converts NVASM assembly into NVIR, packages NVIR into NVOBJ files, and emits deterministic RTL test vectors for Nexus-V hardware simulation. It reconnects the software specification to the Phase 0 through Phase 5 RTL modules by giving each instruction a typed, versioned, branch-aware representation that can be consumed by NVVM, NVRT, and hardware testbenches.</w:t>
      </w:r>
    </w:p>
    <w:p>
      <w:pPr>
        <w:pStyle w:val="NoSpacing"/>
      </w:pPr>
      <w:r>
        <w:rPr>
          <w:rFonts w:ascii="Courier New" w:hAnsi="Courier New" w:eastAsia="Courier New"/>
          <w:sz w:val="16"/>
        </w:rPr>
        <w:t>NVASM source</w:t>
        <w:br/>
        <w:t xml:space="preserve">  -&gt; lexical/parser front-end</w:t>
        <w:br/>
        <w:t xml:space="preserve">  -&gt; semantic mutation graph</w:t>
        <w:br/>
        <w:t xml:space="preserve">  -&gt; VSSA NVIR JSON</w:t>
        <w:br/>
        <w:t xml:space="preserve">  -&gt; NVOBJ container</w:t>
        <w:br/>
        <w:t xml:space="preserve">  -&gt; RTL vector export</w:t>
        <w:br/>
        <w:t xml:space="preserve">  -&gt; NVVM/NVRT simulation and Nexus-V RTL testbenches</w:t>
      </w:r>
    </w:p>
    <w:p>
      <w:pPr>
        <w:pStyle w:val="Heading1"/>
      </w:pPr>
      <w:r>
        <w:t>2. Toolchain Scope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r/>
            <w:r>
              <w:rPr>
                <w:b/>
                <w:sz w:val="18"/>
              </w:rPr>
              <w:t>Layer</w:t>
            </w:r>
          </w:p>
        </w:tc>
        <w:tc>
          <w:tcPr>
            <w:tcW w:type="dxa" w:w="3456"/>
            <w:shd w:fill="D9EAF7"/>
            <w:vAlign w:val="top"/>
          </w:tcPr>
          <w:p>
            <w:r/>
            <w:r>
              <w:rPr>
                <w:b/>
                <w:sz w:val="18"/>
              </w:rPr>
              <w:t>Artifact</w:t>
            </w:r>
          </w:p>
        </w:tc>
        <w:tc>
          <w:tcPr>
            <w:tcW w:type="dxa" w:w="3456"/>
            <w:shd w:fill="D9EAF7"/>
            <w:vAlign w:val="top"/>
          </w:tcPr>
          <w:p>
            <w:r/>
            <w:r>
              <w:rPr>
                <w:b/>
                <w:sz w:val="18"/>
              </w:rPr>
              <w:t>Function</w:t>
            </w:r>
          </w:p>
        </w:tc>
      </w:tr>
      <w:tr>
        <w:tc>
          <w:tcPr>
            <w:tcW w:type="dxa" w:w="3456"/>
            <w:vAlign w:val="top"/>
          </w:tcPr>
          <w:p>
            <w:r/>
            <w:r>
              <w:rPr>
                <w:b w:val="0"/>
                <w:sz w:val="18"/>
              </w:rPr>
              <w:t>NVASM parser</w:t>
            </w:r>
          </w:p>
        </w:tc>
        <w:tc>
          <w:tcPr>
            <w:tcW w:type="dxa" w:w="3456"/>
            <w:vAlign w:val="top"/>
          </w:tcPr>
          <w:p>
            <w:r/>
            <w:r>
              <w:rPr>
                <w:b w:val="0"/>
                <w:sz w:val="18"/>
              </w:rPr>
              <w:t>.nvasm -&gt; AST</w:t>
            </w:r>
          </w:p>
        </w:tc>
        <w:tc>
          <w:tcPr>
            <w:tcW w:type="dxa" w:w="3456"/>
            <w:vAlign w:val="top"/>
          </w:tcPr>
          <w:p>
            <w:r/>
            <w:r>
              <w:rPr>
                <w:b w:val="0"/>
                <w:sz w:val="18"/>
              </w:rPr>
              <w:t>Parses directives, labels, instruction families, operands, destination arrows, and instruction attributes.</w:t>
            </w:r>
          </w:p>
        </w:tc>
      </w:tr>
      <w:tr>
        <w:tc>
          <w:tcPr>
            <w:tcW w:type="dxa" w:w="3456"/>
            <w:vAlign w:val="top"/>
          </w:tcPr>
          <w:p>
            <w:r/>
            <w:r>
              <w:rPr>
                <w:b w:val="0"/>
                <w:sz w:val="18"/>
              </w:rPr>
              <w:t>Semantic lowerer</w:t>
            </w:r>
          </w:p>
        </w:tc>
        <w:tc>
          <w:tcPr>
            <w:tcW w:type="dxa" w:w="3456"/>
            <w:vAlign w:val="top"/>
          </w:tcPr>
          <w:p>
            <w:r/>
            <w:r>
              <w:rPr>
                <w:b w:val="0"/>
                <w:sz w:val="18"/>
              </w:rPr>
              <w:t>AST -&gt; mutation graph</w:t>
            </w:r>
          </w:p>
        </w:tc>
        <w:tc>
          <w:tcPr>
            <w:tcW w:type="dxa" w:w="3456"/>
            <w:vAlign w:val="top"/>
          </w:tcPr>
          <w:p>
            <w:r/>
            <w:r>
              <w:rPr>
                <w:b w:val="0"/>
                <w:sz w:val="18"/>
              </w:rPr>
              <w:t>Classifies reads, writes, creates, state effects, branch effects, audit tokens, route tokens, tensor effects, and quantum effects.</w:t>
            </w:r>
          </w:p>
        </w:tc>
      </w:tr>
      <w:tr>
        <w:tc>
          <w:tcPr>
            <w:tcW w:type="dxa" w:w="3456"/>
            <w:vAlign w:val="top"/>
          </w:tcPr>
          <w:p>
            <w:r/>
            <w:r>
              <w:rPr>
                <w:b w:val="0"/>
                <w:sz w:val="18"/>
              </w:rPr>
              <w:t>NVIR emitter</w:t>
            </w:r>
          </w:p>
        </w:tc>
        <w:tc>
          <w:tcPr>
            <w:tcW w:type="dxa" w:w="3456"/>
            <w:vAlign w:val="top"/>
          </w:tcPr>
          <w:p>
            <w:r/>
            <w:r>
              <w:rPr>
                <w:b w:val="0"/>
                <w:sz w:val="18"/>
              </w:rPr>
              <w:t>.nvir.json</w:t>
            </w:r>
          </w:p>
        </w:tc>
        <w:tc>
          <w:tcPr>
            <w:tcW w:type="dxa" w:w="3456"/>
            <w:vAlign w:val="top"/>
          </w:tcPr>
          <w:p>
            <w:r/>
            <w:r>
              <w:rPr>
                <w:b w:val="0"/>
                <w:sz w:val="18"/>
              </w:rPr>
              <w:t>Emits Versioned Static Single Assignment (VSSA) JSON with state tokens, branch identity, dependency edges, and effect metadata.</w:t>
            </w:r>
          </w:p>
        </w:tc>
      </w:tr>
      <w:tr>
        <w:tc>
          <w:tcPr>
            <w:tcW w:type="dxa" w:w="3456"/>
            <w:vAlign w:val="top"/>
          </w:tcPr>
          <w:p>
            <w:r/>
            <w:r>
              <w:rPr>
                <w:b w:val="0"/>
                <w:sz w:val="18"/>
              </w:rPr>
              <w:t>NVOBJ writer</w:t>
            </w:r>
          </w:p>
        </w:tc>
        <w:tc>
          <w:tcPr>
            <w:tcW w:type="dxa" w:w="3456"/>
            <w:vAlign w:val="top"/>
          </w:tcPr>
          <w:p>
            <w:r/>
            <w:r>
              <w:rPr>
                <w:b w:val="0"/>
                <w:sz w:val="18"/>
              </w:rPr>
              <w:t>.nvobj</w:t>
            </w:r>
          </w:p>
        </w:tc>
        <w:tc>
          <w:tcPr>
            <w:tcW w:type="dxa" w:w="3456"/>
            <w:vAlign w:val="top"/>
          </w:tcPr>
          <w:p>
            <w:r/>
            <w:r>
              <w:rPr>
                <w:b w:val="0"/>
                <w:sz w:val="18"/>
              </w:rPr>
              <w:t>Packs NVIR into a deterministic binary container with magic header, length fields, and compressed JSON payload.</w:t>
            </w:r>
          </w:p>
        </w:tc>
      </w:tr>
      <w:tr>
        <w:tc>
          <w:tcPr>
            <w:tcW w:type="dxa" w:w="3456"/>
            <w:vAlign w:val="top"/>
          </w:tcPr>
          <w:p>
            <w:r/>
            <w:r>
              <w:rPr>
                <w:b w:val="0"/>
                <w:sz w:val="18"/>
              </w:rPr>
              <w:t>RTL vector exporter</w:t>
            </w:r>
          </w:p>
        </w:tc>
        <w:tc>
          <w:tcPr>
            <w:tcW w:type="dxa" w:w="3456"/>
            <w:vAlign w:val="top"/>
          </w:tcPr>
          <w:p>
            <w:r/>
            <w:r>
              <w:rPr>
                <w:b w:val="0"/>
                <w:sz w:val="18"/>
              </w:rPr>
              <w:t>.rtl_vectors.json</w:t>
            </w:r>
          </w:p>
        </w:tc>
        <w:tc>
          <w:tcPr>
            <w:tcW w:type="dxa" w:w="3456"/>
            <w:vAlign w:val="top"/>
          </w:tcPr>
          <w:p>
            <w:r/>
            <w:r>
              <w:rPr>
                <w:b w:val="0"/>
                <w:sz w:val="18"/>
              </w:rPr>
              <w:t>Exports compact instruction/state/effect vectors for SystemVerilog smoke and conformance tests.</w:t>
            </w:r>
          </w:p>
        </w:tc>
      </w:tr>
    </w:tbl>
    <w:p>
      <w:pPr>
        <w:pStyle w:val="Heading1"/>
      </w:pPr>
      <w:r>
        <w:t>3. Hardware-Plan Capability Pre-Audit</w:t>
      </w:r>
    </w:p>
    <w:p>
      <w:r>
        <w:t>The compiler bridge must preserve every architectural capability needed by the hardware roadmap. It must not flatten NVISC into ordinary scalar assembly. NVIR must retain branch lineage, state identity, topology routing, tensor state, quantum boundaries, Aegis audit dependencies, numeric validation, privacy-proof events, rollback invalidation, and memory-version effects.</w:t>
      </w:r>
    </w:p>
    <w:tbl>
      <w:tblPr>
        <w:tblStyle w:val="TableGrid"/>
        <w:tblW w:type="auto" w:w="0"/>
        <w:tblLook w:firstColumn="1" w:firstRow="1" w:lastColumn="0" w:lastRow="0" w:noHBand="0" w:noVBand="1" w:val="04A0"/>
      </w:tblPr>
      <w:tblGrid>
        <w:gridCol w:w="3456"/>
        <w:gridCol w:w="3456"/>
        <w:gridCol w:w="3456"/>
      </w:tblGrid>
      <w:tr>
        <w:tc>
          <w:tcPr>
            <w:tcW w:type="dxa" w:w="3456"/>
            <w:shd w:fill="E2F0D9"/>
            <w:vAlign w:val="top"/>
          </w:tcPr>
          <w:p>
            <w:r/>
            <w:r>
              <w:rPr>
                <w:b/>
                <w:sz w:val="18"/>
              </w:rPr>
              <w:t>Capability</w:t>
            </w:r>
          </w:p>
        </w:tc>
        <w:tc>
          <w:tcPr>
            <w:tcW w:type="dxa" w:w="3456"/>
            <w:shd w:fill="E2F0D9"/>
            <w:vAlign w:val="top"/>
          </w:tcPr>
          <w:p>
            <w:r/>
            <w:r>
              <w:rPr>
                <w:b/>
                <w:sz w:val="18"/>
              </w:rPr>
              <w:t>Bridge requirement</w:t>
            </w:r>
          </w:p>
        </w:tc>
        <w:tc>
          <w:tcPr>
            <w:tcW w:type="dxa" w:w="3456"/>
            <w:shd w:fill="E2F0D9"/>
            <w:vAlign w:val="top"/>
          </w:tcPr>
          <w:p>
            <w:r/>
            <w:r>
              <w:rPr>
                <w:b/>
                <w:sz w:val="18"/>
              </w:rPr>
              <w:t>Status</w:t>
            </w:r>
          </w:p>
        </w:tc>
      </w:tr>
      <w:tr>
        <w:tc>
          <w:tcPr>
            <w:tcW w:type="dxa" w:w="3456"/>
            <w:vAlign w:val="top"/>
          </w:tcPr>
          <w:p>
            <w:r/>
            <w:r>
              <w:rPr>
                <w:b w:val="0"/>
                <w:sz w:val="18"/>
              </w:rPr>
              <w:t>3D/depth-parallel state compute</w:t>
            </w:r>
          </w:p>
        </w:tc>
        <w:tc>
          <w:tcPr>
            <w:tcW w:type="dxa" w:w="3456"/>
            <w:vAlign w:val="top"/>
          </w:tcPr>
          <w:p>
            <w:r/>
            <w:r>
              <w:rPr>
                <w:b w:val="0"/>
                <w:sz w:val="18"/>
              </w:rPr>
              <w:t>Represent topology and route effects using G.* instructions, topology tokens, route dependencies, and state_out updates.</w:t>
            </w:r>
          </w:p>
        </w:tc>
        <w:tc>
          <w:tcPr>
            <w:tcW w:type="dxa" w:w="3456"/>
            <w:vAlign w:val="top"/>
          </w:tcPr>
          <w:p>
            <w:r/>
            <w:r>
              <w:rPr>
                <w:b w:val="0"/>
                <w:sz w:val="18"/>
              </w:rPr>
              <w:t>Covered in v0.1 scaffold</w:t>
            </w:r>
          </w:p>
        </w:tc>
      </w:tr>
      <w:tr>
        <w:tc>
          <w:tcPr>
            <w:tcW w:type="dxa" w:w="3456"/>
            <w:vAlign w:val="top"/>
          </w:tcPr>
          <w:p>
            <w:r/>
            <w:r>
              <w:rPr>
                <w:b w:val="0"/>
                <w:sz w:val="18"/>
              </w:rPr>
              <w:t>Git-like state history</w:t>
            </w:r>
          </w:p>
        </w:tc>
        <w:tc>
          <w:tcPr>
            <w:tcW w:type="dxa" w:w="3456"/>
            <w:vAlign w:val="top"/>
          </w:tcPr>
          <w:p>
            <w:r/>
            <w:r>
              <w:rPr>
                <w:b w:val="0"/>
                <w:sz w:val="18"/>
              </w:rPr>
              <w:t>Represent S.BRANCH, S.SNAP, S.ROLLBACK, S.COMMIT, S.SCORE, S.SELECT as state graph mutations.</w:t>
            </w:r>
          </w:p>
        </w:tc>
        <w:tc>
          <w:tcPr>
            <w:tcW w:type="dxa" w:w="3456"/>
            <w:vAlign w:val="top"/>
          </w:tcPr>
          <w:p>
            <w:r/>
            <w:r>
              <w:rPr>
                <w:b w:val="0"/>
                <w:sz w:val="18"/>
              </w:rPr>
              <w:t>Covered in v0.1 scaffold</w:t>
            </w:r>
          </w:p>
        </w:tc>
      </w:tr>
      <w:tr>
        <w:tc>
          <w:tcPr>
            <w:tcW w:type="dxa" w:w="3456"/>
            <w:vAlign w:val="top"/>
          </w:tcPr>
          <w:p>
            <w:r/>
            <w:r>
              <w:rPr>
                <w:b w:val="0"/>
                <w:sz w:val="18"/>
              </w:rPr>
              <w:t>More-than-binary domains</w:t>
            </w:r>
          </w:p>
        </w:tc>
        <w:tc>
          <w:tcPr>
            <w:tcW w:type="dxa" w:w="3456"/>
            <w:vAlign w:val="top"/>
          </w:tcPr>
          <w:p>
            <w:r/>
            <w:r>
              <w:rPr>
                <w:b w:val="0"/>
                <w:sz w:val="18"/>
              </w:rPr>
              <w:t>Preserve M.* / D.* / FPERR.* domains rather than casting them to generic integer operations.</w:t>
            </w:r>
          </w:p>
        </w:tc>
        <w:tc>
          <w:tcPr>
            <w:tcW w:type="dxa" w:w="3456"/>
            <w:vAlign w:val="top"/>
          </w:tcPr>
          <w:p>
            <w:r/>
            <w:r>
              <w:rPr>
                <w:b w:val="0"/>
                <w:sz w:val="18"/>
              </w:rPr>
              <w:t>Covered in v0.1 scaffold</w:t>
            </w:r>
          </w:p>
        </w:tc>
      </w:tr>
      <w:tr>
        <w:tc>
          <w:tcPr>
            <w:tcW w:type="dxa" w:w="3456"/>
            <w:vAlign w:val="top"/>
          </w:tcPr>
          <w:p>
            <w:r/>
            <w:r>
              <w:rPr>
                <w:b w:val="0"/>
                <w:sz w:val="18"/>
              </w:rPr>
              <w:t>RSM / COW / rollback hardware</w:t>
            </w:r>
          </w:p>
        </w:tc>
        <w:tc>
          <w:tcPr>
            <w:tcW w:type="dxa" w:w="3456"/>
            <w:vAlign w:val="top"/>
          </w:tcPr>
          <w:p>
            <w:r/>
            <w:r>
              <w:rPr>
                <w:b w:val="0"/>
                <w:sz w:val="18"/>
              </w:rPr>
              <w:t>Emit memory/state effects and rollback invalidation metadata for RSM test vectors.</w:t>
            </w:r>
          </w:p>
        </w:tc>
        <w:tc>
          <w:tcPr>
            <w:tcW w:type="dxa" w:w="3456"/>
            <w:vAlign w:val="top"/>
          </w:tcPr>
          <w:p>
            <w:r/>
            <w:r>
              <w:rPr>
                <w:b w:val="0"/>
                <w:sz w:val="18"/>
              </w:rPr>
              <w:t>Covered in v0.1 scaffold</w:t>
            </w:r>
          </w:p>
        </w:tc>
      </w:tr>
      <w:tr>
        <w:tc>
          <w:tcPr>
            <w:tcW w:type="dxa" w:w="3456"/>
            <w:vAlign w:val="top"/>
          </w:tcPr>
          <w:p>
            <w:r/>
            <w:r>
              <w:rPr>
                <w:b w:val="0"/>
                <w:sz w:val="18"/>
              </w:rPr>
              <w:t>Aegis auditing</w:t>
            </w:r>
          </w:p>
        </w:tc>
        <w:tc>
          <w:tcPr>
            <w:tcW w:type="dxa" w:w="3456"/>
            <w:vAlign w:val="top"/>
          </w:tcPr>
          <w:p>
            <w:r/>
            <w:r>
              <w:rPr>
                <w:b w:val="0"/>
                <w:sz w:val="18"/>
              </w:rPr>
              <w:t>Treat A.AUDIT outputs as capability-bearing audit tokens required by S.COMMIT.</w:t>
            </w:r>
          </w:p>
        </w:tc>
        <w:tc>
          <w:tcPr>
            <w:tcW w:type="dxa" w:w="3456"/>
            <w:vAlign w:val="top"/>
          </w:tcPr>
          <w:p>
            <w:r/>
            <w:r>
              <w:rPr>
                <w:b w:val="0"/>
                <w:sz w:val="18"/>
              </w:rPr>
              <w:t>Covered in v0.1 scaffold</w:t>
            </w:r>
          </w:p>
        </w:tc>
      </w:tr>
      <w:tr>
        <w:tc>
          <w:tcPr>
            <w:tcW w:type="dxa" w:w="3456"/>
            <w:vAlign w:val="top"/>
          </w:tcPr>
          <w:p>
            <w:r/>
            <w:r>
              <w:rPr>
                <w:b w:val="0"/>
                <w:sz w:val="18"/>
              </w:rPr>
              <w:t>Topology/polyhedral routing</w:t>
            </w:r>
          </w:p>
        </w:tc>
        <w:tc>
          <w:tcPr>
            <w:tcW w:type="dxa" w:w="3456"/>
            <w:vAlign w:val="top"/>
          </w:tcPr>
          <w:p>
            <w:r/>
            <w:r>
              <w:rPr>
                <w:b w:val="0"/>
                <w:sz w:val="18"/>
              </w:rPr>
              <w:t>Emit G.ROUTE/G.GEO_PATH route-token creation and topology dependency effects.</w:t>
            </w:r>
          </w:p>
        </w:tc>
        <w:tc>
          <w:tcPr>
            <w:tcW w:type="dxa" w:w="3456"/>
            <w:vAlign w:val="top"/>
          </w:tcPr>
          <w:p>
            <w:r/>
            <w:r>
              <w:rPr>
                <w:b w:val="0"/>
                <w:sz w:val="18"/>
              </w:rPr>
              <w:t>Covered in v0.1 scaffold</w:t>
            </w:r>
          </w:p>
        </w:tc>
      </w:tr>
      <w:tr>
        <w:tc>
          <w:tcPr>
            <w:tcW w:type="dxa" w:w="3456"/>
            <w:vAlign w:val="top"/>
          </w:tcPr>
          <w:p>
            <w:r/>
            <w:r>
              <w:rPr>
                <w:b w:val="0"/>
                <w:sz w:val="18"/>
              </w:rPr>
              <w:t>Tensor/NPU spatial execution</w:t>
            </w:r>
          </w:p>
        </w:tc>
        <w:tc>
          <w:tcPr>
            <w:tcW w:type="dxa" w:w="3456"/>
            <w:vAlign w:val="top"/>
          </w:tcPr>
          <w:p>
            <w:r/>
            <w:r>
              <w:rPr>
                <w:b w:val="0"/>
                <w:sz w:val="18"/>
              </w:rPr>
              <w:t>Emit T.* as branch/state-scoped tensor operations with state_out and tensor_operation effects.</w:t>
            </w:r>
          </w:p>
        </w:tc>
        <w:tc>
          <w:tcPr>
            <w:tcW w:type="dxa" w:w="3456"/>
            <w:vAlign w:val="top"/>
          </w:tcPr>
          <w:p>
            <w:r/>
            <w:r>
              <w:rPr>
                <w:b w:val="0"/>
                <w:sz w:val="18"/>
              </w:rPr>
              <w:t>Covered in v0.1 scaffold</w:t>
            </w:r>
          </w:p>
        </w:tc>
      </w:tr>
      <w:tr>
        <w:tc>
          <w:tcPr>
            <w:tcW w:type="dxa" w:w="3456"/>
            <w:vAlign w:val="top"/>
          </w:tcPr>
          <w:p>
            <w:r/>
            <w:r>
              <w:rPr>
                <w:b w:val="0"/>
                <w:sz w:val="18"/>
              </w:rPr>
              <w:t>Hybrid quantum domain</w:t>
            </w:r>
          </w:p>
        </w:tc>
        <w:tc>
          <w:tcPr>
            <w:tcW w:type="dxa" w:w="3456"/>
            <w:vAlign w:val="top"/>
          </w:tcPr>
          <w:p>
            <w:r/>
            <w:r>
              <w:rPr>
                <w:b w:val="0"/>
                <w:sz w:val="18"/>
              </w:rPr>
              <w:t>Emit Q.* as quantum-step events that create qtokens and require QSYNC/QAUDIT/QCOMMIT boundaries.</w:t>
            </w:r>
          </w:p>
        </w:tc>
        <w:tc>
          <w:tcPr>
            <w:tcW w:type="dxa" w:w="3456"/>
            <w:vAlign w:val="top"/>
          </w:tcPr>
          <w:p>
            <w:r/>
            <w:r>
              <w:rPr>
                <w:b w:val="0"/>
                <w:sz w:val="18"/>
              </w:rPr>
              <w:t>Covered in v0.1 scaffold</w:t>
            </w:r>
          </w:p>
        </w:tc>
      </w:tr>
      <w:tr>
        <w:tc>
          <w:tcPr>
            <w:tcW w:type="dxa" w:w="3456"/>
            <w:vAlign w:val="top"/>
          </w:tcPr>
          <w:p>
            <w:r/>
            <w:r>
              <w:rPr>
                <w:b w:val="0"/>
                <w:sz w:val="18"/>
              </w:rPr>
              <w:t>Anti-cheat/privacy proof</w:t>
            </w:r>
          </w:p>
        </w:tc>
        <w:tc>
          <w:tcPr>
            <w:tcW w:type="dxa" w:w="3456"/>
            <w:vAlign w:val="top"/>
          </w:tcPr>
          <w:p>
            <w:r/>
            <w:r>
              <w:rPr>
                <w:b w:val="0"/>
                <w:sz w:val="18"/>
              </w:rPr>
              <w:t>Preserve Aegis/attestation/proof opcodes and report-generation effects for future MINREP handling.</w:t>
            </w:r>
          </w:p>
        </w:tc>
        <w:tc>
          <w:tcPr>
            <w:tcW w:type="dxa" w:w="3456"/>
            <w:vAlign w:val="top"/>
          </w:tcPr>
          <w:p>
            <w:r/>
            <w:r>
              <w:rPr>
                <w:b w:val="0"/>
                <w:sz w:val="18"/>
              </w:rPr>
              <w:t>Covered in v0.1 scaffold</w:t>
            </w:r>
          </w:p>
        </w:tc>
      </w:tr>
      <w:tr>
        <w:tc>
          <w:tcPr>
            <w:tcW w:type="dxa" w:w="3456"/>
            <w:vAlign w:val="top"/>
          </w:tcPr>
          <w:p>
            <w:r/>
            <w:r>
              <w:rPr>
                <w:b w:val="0"/>
                <w:sz w:val="18"/>
              </w:rPr>
              <w:t>Thermal/error constraints</w:t>
            </w:r>
          </w:p>
        </w:tc>
        <w:tc>
          <w:tcPr>
            <w:tcW w:type="dxa" w:w="3456"/>
            <w:vAlign w:val="top"/>
          </w:tcPr>
          <w:p>
            <w:r/>
            <w:r>
              <w:rPr>
                <w:b w:val="0"/>
                <w:sz w:val="18"/>
              </w:rPr>
              <w:t>Preserve topology_epoch/thermal_epoch-aware route and numeric-integrity dependencies in NVIR attributes.</w:t>
            </w:r>
          </w:p>
        </w:tc>
        <w:tc>
          <w:tcPr>
            <w:tcW w:type="dxa" w:w="3456"/>
            <w:vAlign w:val="top"/>
          </w:tcPr>
          <w:p>
            <w:r/>
            <w:r>
              <w:rPr>
                <w:b w:val="0"/>
                <w:sz w:val="18"/>
              </w:rPr>
              <w:t>Covered in v0.1 scaffold</w:t>
            </w:r>
          </w:p>
        </w:tc>
      </w:tr>
    </w:tbl>
    <w:p>
      <w:pPr>
        <w:pStyle w:val="Heading1"/>
      </w:pPr>
      <w:r>
        <w:t>4. NVIR VSSA Model</w:t>
      </w:r>
    </w:p>
    <w:p>
      <w:r>
        <w:t>The bridge emits NVIR v0.2 using a Versioned Static Single Assignment model. Every mutating instruction consumes a state token and generally produces a new state token. Branch-sensitive values remain attached to branch and state context.</w:t>
      </w:r>
    </w:p>
    <w:p>
      <w:pPr>
        <w:pStyle w:val="NoSpacing"/>
      </w:pPr>
      <w:r>
        <w:rPr>
          <w:rFonts w:ascii="Courier New" w:hAnsi="Courier New" w:eastAsia="Courier New"/>
          <w:sz w:val="16"/>
        </w:rPr>
        <w:t>%r2#1@branch.a = B.ADD(%r1#0@main, literal:10)</w:t>
        <w:br/>
        <w:t>state_in  = %state#0@branch.a</w:t>
        <w:br/>
        <w:t>state_out = %state#1@branch.a</w:t>
        <w:br/>
        <w:t>effects   = [writes_register]</w:t>
      </w:r>
    </w:p>
    <w:p>
      <w:pPr>
        <w:pStyle w:val="Heading1"/>
      </w:pPr>
      <w:r>
        <w:t>5. Current Source Package</w:t>
      </w:r>
    </w:p>
    <w:p>
      <w:r>
        <w:t>The v0.1 source package includes a working scaffold written in Python. It can parse a subset of NVASM, lower it into JSON NVIR, pack it into an NVOBJ container, and emit RTL-vector JSON files.</w:t>
      </w:r>
    </w:p>
    <w:tbl>
      <w:tblPr>
        <w:tblStyle w:val="TableGrid"/>
        <w:tblW w:type="auto" w:w="0"/>
        <w:tblLook w:firstColumn="1" w:firstRow="1" w:lastColumn="0" w:lastRow="0" w:noHBand="0" w:noVBand="1" w:val="04A0"/>
      </w:tblPr>
      <w:tblGrid>
        <w:gridCol w:w="5184"/>
        <w:gridCol w:w="5184"/>
      </w:tblGrid>
      <w:tr>
        <w:tc>
          <w:tcPr>
            <w:tcW w:type="dxa" w:w="5184"/>
            <w:shd w:fill="FCE4D6"/>
            <w:vAlign w:val="top"/>
          </w:tcPr>
          <w:p>
            <w:r/>
            <w:r>
              <w:rPr>
                <w:b/>
                <w:sz w:val="18"/>
              </w:rPr>
              <w:t>File</w:t>
            </w:r>
          </w:p>
        </w:tc>
        <w:tc>
          <w:tcPr>
            <w:tcW w:type="dxa" w:w="5184"/>
            <w:shd w:fill="FCE4D6"/>
            <w:vAlign w:val="top"/>
          </w:tcPr>
          <w:p>
            <w:r/>
            <w:r>
              <w:rPr>
                <w:b/>
                <w:sz w:val="18"/>
              </w:rPr>
              <w:t>Purpose</w:t>
            </w:r>
          </w:p>
        </w:tc>
      </w:tr>
      <w:tr>
        <w:tc>
          <w:tcPr>
            <w:tcW w:type="dxa" w:w="5184"/>
            <w:vAlign w:val="top"/>
          </w:tcPr>
          <w:p>
            <w:r/>
            <w:r>
              <w:rPr>
                <w:b w:val="0"/>
                <w:sz w:val="18"/>
              </w:rPr>
              <w:t>nvisc_toolchain/parser.py</w:t>
            </w:r>
          </w:p>
        </w:tc>
        <w:tc>
          <w:tcPr>
            <w:tcW w:type="dxa" w:w="5184"/>
            <w:vAlign w:val="top"/>
          </w:tcPr>
          <w:p>
            <w:r/>
            <w:r>
              <w:rPr>
                <w:b w:val="0"/>
                <w:sz w:val="18"/>
              </w:rPr>
              <w:t>Parses .nvasm source into directives, symbols, labels, and Instruction objects.</w:t>
            </w:r>
          </w:p>
        </w:tc>
      </w:tr>
      <w:tr>
        <w:tc>
          <w:tcPr>
            <w:tcW w:type="dxa" w:w="5184"/>
            <w:vAlign w:val="top"/>
          </w:tcPr>
          <w:p>
            <w:r/>
            <w:r>
              <w:rPr>
                <w:b w:val="0"/>
                <w:sz w:val="18"/>
              </w:rPr>
              <w:t>nvisc_toolchain/lowering.py</w:t>
            </w:r>
          </w:p>
        </w:tc>
        <w:tc>
          <w:tcPr>
            <w:tcW w:type="dxa" w:w="5184"/>
            <w:vAlign w:val="top"/>
          </w:tcPr>
          <w:p>
            <w:r/>
            <w:r>
              <w:rPr>
                <w:b w:val="0"/>
                <w:sz w:val="18"/>
              </w:rPr>
              <w:t>Converts instructions into VSSA NVIR with reads/writes/creates/effects/state tokens.</w:t>
            </w:r>
          </w:p>
        </w:tc>
      </w:tr>
      <w:tr>
        <w:tc>
          <w:tcPr>
            <w:tcW w:type="dxa" w:w="5184"/>
            <w:vAlign w:val="top"/>
          </w:tcPr>
          <w:p>
            <w:r/>
            <w:r>
              <w:rPr>
                <w:b w:val="0"/>
                <w:sz w:val="18"/>
              </w:rPr>
              <w:t>nvisc_toolchain/schema.py</w:t>
            </w:r>
          </w:p>
        </w:tc>
        <w:tc>
          <w:tcPr>
            <w:tcW w:type="dxa" w:w="5184"/>
            <w:vAlign w:val="top"/>
          </w:tcPr>
          <w:p>
            <w:r/>
            <w:r>
              <w:rPr>
                <w:b w:val="0"/>
                <w:sz w:val="18"/>
              </w:rPr>
              <w:t>Defines dataclasses for SourceLoc, Instruction, NvirInstruction, DependencyEdge, and NvirModule.</w:t>
            </w:r>
          </w:p>
        </w:tc>
      </w:tr>
      <w:tr>
        <w:tc>
          <w:tcPr>
            <w:tcW w:type="dxa" w:w="5184"/>
            <w:vAlign w:val="top"/>
          </w:tcPr>
          <w:p>
            <w:r/>
            <w:r>
              <w:rPr>
                <w:b w:val="0"/>
                <w:sz w:val="18"/>
              </w:rPr>
              <w:t>nvisc_toolchain/nvobj.py</w:t>
            </w:r>
          </w:p>
        </w:tc>
        <w:tc>
          <w:tcPr>
            <w:tcW w:type="dxa" w:w="5184"/>
            <w:vAlign w:val="top"/>
          </w:tcPr>
          <w:p>
            <w:r/>
            <w:r>
              <w:rPr>
                <w:b w:val="0"/>
                <w:sz w:val="18"/>
              </w:rPr>
              <w:t>Writes/reads compressed NVOBJ v0.1 containers.</w:t>
            </w:r>
          </w:p>
        </w:tc>
      </w:tr>
      <w:tr>
        <w:tc>
          <w:tcPr>
            <w:tcW w:type="dxa" w:w="5184"/>
            <w:vAlign w:val="top"/>
          </w:tcPr>
          <w:p>
            <w:r/>
            <w:r>
              <w:rPr>
                <w:b w:val="0"/>
                <w:sz w:val="18"/>
              </w:rPr>
              <w:t>nvisc_toolchain/rtl_vectors.py</w:t>
            </w:r>
          </w:p>
        </w:tc>
        <w:tc>
          <w:tcPr>
            <w:tcW w:type="dxa" w:w="5184"/>
            <w:vAlign w:val="top"/>
          </w:tcPr>
          <w:p>
            <w:r/>
            <w:r>
              <w:rPr>
                <w:b w:val="0"/>
                <w:sz w:val="18"/>
              </w:rPr>
              <w:t>Exports compact vectors for RTL smoke tests.</w:t>
            </w:r>
          </w:p>
        </w:tc>
      </w:tr>
      <w:tr>
        <w:tc>
          <w:tcPr>
            <w:tcW w:type="dxa" w:w="5184"/>
            <w:vAlign w:val="top"/>
          </w:tcPr>
          <w:p>
            <w:r/>
            <w:r>
              <w:rPr>
                <w:b w:val="0"/>
                <w:sz w:val="18"/>
              </w:rPr>
              <w:t>nvisc_toolchain/cli.py</w:t>
            </w:r>
          </w:p>
        </w:tc>
        <w:tc>
          <w:tcPr>
            <w:tcW w:type="dxa" w:w="5184"/>
            <w:vAlign w:val="top"/>
          </w:tcPr>
          <w:p>
            <w:r/>
            <w:r>
              <w:rPr>
                <w:b w:val="0"/>
                <w:sz w:val="18"/>
              </w:rPr>
              <w:t>Command-line entrypoint.</w:t>
            </w:r>
          </w:p>
        </w:tc>
      </w:tr>
      <w:tr>
        <w:tc>
          <w:tcPr>
            <w:tcW w:type="dxa" w:w="5184"/>
            <w:vAlign w:val="top"/>
          </w:tcPr>
          <w:p>
            <w:r/>
            <w:r>
              <w:rPr>
                <w:b w:val="0"/>
                <w:sz w:val="18"/>
              </w:rPr>
              <w:t>examples/branch_route_tensor_quantum.nvasm</w:t>
            </w:r>
          </w:p>
        </w:tc>
        <w:tc>
          <w:tcPr>
            <w:tcW w:type="dxa" w:w="5184"/>
            <w:vAlign w:val="top"/>
          </w:tcPr>
          <w:p>
            <w:r/>
            <w:r>
              <w:rPr>
                <w:b w:val="0"/>
                <w:sz w:val="18"/>
              </w:rPr>
              <w:t>Demonstrates branch, route, tensor, quantum, audit, and commit lowering.</w:t>
            </w:r>
          </w:p>
        </w:tc>
      </w:tr>
    </w:tbl>
    <w:p>
      <w:pPr>
        <w:pStyle w:val="Heading1"/>
      </w:pPr>
      <w:r>
        <w:t>6. CLI Contract</w:t>
      </w:r>
    </w:p>
    <w:p>
      <w:pPr>
        <w:pStyle w:val="NoSpacing"/>
      </w:pPr>
      <w:r>
        <w:rPr>
          <w:rFonts w:ascii="Courier New" w:hAnsi="Courier New" w:eastAsia="Courier New"/>
          <w:sz w:val="16"/>
        </w:rPr>
        <w:t>./nvisc-bridge examples/branch_route_tensor_quantum.nvasm \</w:t>
        <w:br/>
        <w:t xml:space="preserve">  --nvir out.nvir.json \</w:t>
        <w:br/>
        <w:t xml:space="preserve">  --nvobj out.nvobj \</w:t>
        <w:br/>
        <w:t xml:space="preserve">  --vectors out.rtl_vectors.json</w:t>
      </w:r>
    </w:p>
    <w:p>
      <w:pPr>
        <w:pStyle w:val="Heading1"/>
      </w:pPr>
      <w:r>
        <w:t>7. Example NVASM Input</w:t>
      </w:r>
    </w:p>
    <w:p>
      <w:pPr>
        <w:pStyle w:val="NoSpacing"/>
      </w:pPr>
      <w:r>
        <w:rPr>
          <w:rFonts w:ascii="Courier New" w:hAnsi="Courier New" w:eastAsia="Courier New"/>
          <w:sz w:val="16"/>
        </w:rPr>
        <w:t>.module "bridge_demo"</w:t>
        <w:br/>
        <w:t>.arch "NVISC-v0.1"</w:t>
        <w:br/>
        <w:t>.entry main</w:t>
        <w:br/>
        <w:br/>
        <w:t>main:</w:t>
        <w:br/>
        <w:t xml:space="preserve">    B.LOAD r1, [input]</w:t>
        <w:br/>
        <w:t xml:space="preserve">    S.SNAP s0</w:t>
        <w:br/>
        <w:t xml:space="preserve">    S.BRANCH @branch.a from s0</w:t>
        <w:br/>
        <w:t xml:space="preserve">    B.ADD r2, r1, 10</w:t>
        <w:br/>
        <w:t xml:space="preserve">    G.ROUTE @node.0, @node.7, policy=ROUTE_FAST</w:t>
        <w:br/>
        <w:t xml:space="preserve">    T.TMATMUL t2, t0, t1</w:t>
        <w:br/>
        <w:t xml:space="preserve">    Q.QALLOC q0, qubits=1</w:t>
        <w:br/>
        <w:t xml:space="preserve">    Q.QPREP q0, |0&gt;</w:t>
        <w:br/>
        <w:t xml:space="preserve">    Q.QMEASURE q0 -&gt; r3</w:t>
        <w:br/>
        <w:t xml:space="preserve">    A.AUDIT %state.current, @policy.safe_commit -&gt; p0</w:t>
        <w:br/>
        <w:t xml:space="preserve">    S.COMMIT %state.current</w:t>
      </w:r>
    </w:p>
    <w:p>
      <w:pPr>
        <w:pStyle w:val="Heading1"/>
      </w:pPr>
      <w:r>
        <w:t>8. Example NVIR Output Shape</w:t>
      </w:r>
    </w:p>
    <w:p>
      <w:pPr>
        <w:pStyle w:val="NoSpacing"/>
      </w:pPr>
      <w:r>
        <w:rPr>
          <w:rFonts w:ascii="Courier New" w:hAnsi="Courier New" w:eastAsia="Courier New"/>
          <w:sz w:val="16"/>
        </w:rPr>
        <w:t>{</w:t>
        <w:br/>
        <w:t xml:space="preserve">  "nvir_version": "0.2",</w:t>
        <w:br/>
        <w:t xml:space="preserve">  "representation": "VSSA",</w:t>
        <w:br/>
        <w:t xml:space="preserve">  "instructions": [</w:t>
        <w:br/>
        <w:t xml:space="preserve">    {</w:t>
        <w:br/>
        <w:t xml:space="preserve">      "id": 3,</w:t>
        <w:br/>
        <w:t xml:space="preserve">      "op": "S.BRANCH",</w:t>
        <w:br/>
        <w:t xml:space="preserve">      "creates": ["@branch.a"],</w:t>
        <w:br/>
        <w:t xml:space="preserve">      "state_in": "%state#2@main",</w:t>
        <w:br/>
        <w:t xml:space="preserve">      "state_out": "%state#0@a",</w:t>
        <w:br/>
        <w:t xml:space="preserve">      "effects": ["creates_branch", "writes_state_graph"]</w:t>
        <w:br/>
        <w:t xml:space="preserve">    },</w:t>
        <w:br/>
        <w:t xml:space="preserve">    {</w:t>
        <w:br/>
        <w:t xml:space="preserve">      "id": 10,</w:t>
        <w:br/>
        <w:t xml:space="preserve">      "op": "A.AUDIT",</w:t>
        <w:br/>
        <w:t xml:space="preserve">      "creates": ["%audit_token#10"],</w:t>
        <w:br/>
        <w:t xml:space="preserve">      "effects": ["aegis_audit", "creates_audit_token"]</w:t>
        <w:br/>
        <w:t xml:space="preserve">    },</w:t>
        <w:br/>
        <w:t xml:space="preserve">    {</w:t>
        <w:br/>
        <w:t xml:space="preserve">      "id": 11,</w:t>
        <w:br/>
        <w:t xml:space="preserve">      "op": "S.COMMIT",</w:t>
        <w:br/>
        <w:t xml:space="preserve">      "requires": ["%audit_token#10"],</w:t>
        <w:br/>
        <w:t xml:space="preserve">      "effects": ["commits_state", "requires_audit"]</w:t>
        <w:br/>
        <w:t xml:space="preserve">    }</w:t>
        <w:br/>
        <w:t xml:space="preserve">  ]</w:t>
        <w:br/>
        <w:t>}</w:t>
      </w:r>
    </w:p>
    <w:p>
      <w:pPr>
        <w:pStyle w:val="Heading1"/>
      </w:pPr>
      <w:r>
        <w:t>9. RTL Vector Export</w:t>
      </w:r>
    </w:p>
    <w:p>
      <w:r>
        <w:t>RTL vectors are intentionally smaller than full NVIR. They expose only instruction id, operation, state_in/state_out, branch, read/write/create lists, and effect tags. This makes them suitable for SystemVerilog smoke tests across Phase 0 through Phase 5 without requiring the testbench to parse the entire NVIR schema.</w:t>
      </w:r>
    </w:p>
    <w:p>
      <w:pPr>
        <w:pStyle w:val="NoSpacing"/>
      </w:pPr>
      <w:r>
        <w:rPr>
          <w:rFonts w:ascii="Courier New" w:hAnsi="Courier New" w:eastAsia="Courier New"/>
          <w:sz w:val="16"/>
        </w:rPr>
        <w:t>{</w:t>
        <w:br/>
        <w:t xml:space="preserve">  "format": "nexus-v-rtl-vectors-v0.1",</w:t>
        <w:br/>
        <w:t xml:space="preserve">  "module": "bridge_demo",</w:t>
        <w:br/>
        <w:t xml:space="preserve">  "vectors": [</w:t>
        <w:br/>
        <w:t xml:space="preserve">    {</w:t>
        <w:br/>
        <w:t xml:space="preserve">      "id": 5,</w:t>
        <w:br/>
        <w:t xml:space="preserve">      "op": "G.ROUTE",</w:t>
        <w:br/>
        <w:t xml:space="preserve">      "state_in": "%state#1@a",</w:t>
        <w:br/>
        <w:t xml:space="preserve">      "state_out": "%state#2@a",</w:t>
        <w:br/>
        <w:t xml:space="preserve">      "creates": ["%topology.route#5"],</w:t>
        <w:br/>
        <w:t xml:space="preserve">      "effects": ["uses_topology", "creates_topology_token"]</w:t>
        <w:br/>
        <w:t xml:space="preserve">    }</w:t>
        <w:br/>
        <w:t xml:space="preserve">  ]</w:t>
        <w:br/>
        <w:t>}</w:t>
      </w:r>
    </w:p>
    <w:p>
      <w:pPr>
        <w:pStyle w:val="Heading1"/>
      </w:pPr>
      <w:r>
        <w:t>10. NVOBJ v0.1 Container</w:t>
      </w:r>
    </w:p>
    <w:p>
      <w:r>
        <w:t>The first NVOBJ format is deliberately simple: a magic header, raw JSON length, compressed payload length, and compressed NVIR JSON payload. Later versions can add section tables, relocation records, signatures, and policy/topology/tensor/quantum section offsets.</w:t>
      </w:r>
    </w:p>
    <w:p>
      <w:pPr>
        <w:pStyle w:val="NoSpacing"/>
      </w:pPr>
      <w:r>
        <w:rPr>
          <w:rFonts w:ascii="Courier New" w:hAnsi="Courier New" w:eastAsia="Courier New"/>
          <w:sz w:val="16"/>
        </w:rPr>
        <w:t>byte[7] magic = "NVOBJ\0\1"</w:t>
        <w:br/>
        <w:t>uint32 raw_json_len</w:t>
        <w:br/>
        <w:t>uint32 compressed_len</w:t>
        <w:br/>
        <w:t>byte[compressed_len] zlib_compressed_nvir_json</w:t>
      </w:r>
    </w:p>
    <w:p>
      <w:pPr>
        <w:pStyle w:val="Heading1"/>
      </w:pPr>
      <w:r>
        <w:t>11. Conformance Checklist</w:t>
      </w:r>
    </w:p>
    <w:p>
      <w:r>
        <w:t>[x] NVASM source can be parsed into instruction objects.</w:t>
      </w:r>
    </w:p>
    <w:p>
      <w:r>
        <w:t>[x] Labels and module/arch/entry directives are captured.</w:t>
      </w:r>
    </w:p>
    <w:p>
      <w:r>
        <w:t>[x] Branch instructions create branch/state graph effects.</w:t>
      </w:r>
    </w:p>
    <w:p>
      <w:r>
        <w:t>[x] Aegis audit emits audit-token creation effects.</w:t>
      </w:r>
    </w:p>
    <w:p>
      <w:r>
        <w:t>[x] Commit requires previous audit token in the simple v0.1 policy model.</w:t>
      </w:r>
    </w:p>
    <w:p>
      <w:r>
        <w:t>[x] G.ROUTE creates topology route token effects.</w:t>
      </w:r>
    </w:p>
    <w:p>
      <w:r>
        <w:t>[x] T.* operations preserve tensor_operation effects.</w:t>
      </w:r>
    </w:p>
    <w:p>
      <w:r>
        <w:t>[x] Q.* operations create quantum token effects.</w:t>
      </w:r>
    </w:p>
    <w:p>
      <w:r>
        <w:t>[x] D.* and FPERR.* preserve decimal/numeric-integrity domains.</w:t>
      </w:r>
    </w:p>
    <w:p>
      <w:r>
        <w:t>[x] NVIR JSON can be emitted deterministically.</w:t>
      </w:r>
    </w:p>
    <w:p>
      <w:r>
        <w:t>[x] NVOBJ binary container can be written and read.</w:t>
      </w:r>
    </w:p>
    <w:p>
      <w:r>
        <w:t>[x] RTL vector export can be generated from NVIR.</w:t>
      </w:r>
    </w:p>
    <w:p>
      <w:pPr>
        <w:pStyle w:val="Heading1"/>
      </w:pPr>
      <w:r>
        <w:t>12. Known v0.1 Limitations</w:t>
      </w:r>
    </w:p>
    <w:p>
      <w:r>
        <w:t>- The parser is line-oriented and intentionally minimal; it is not yet a full EBNF/ANTLR-grade implementation.</w:t>
      </w:r>
    </w:p>
    <w:p>
      <w:r>
        <w:t>- Macro expansion, full policy parsing, and topology descriptor parsing are not implemented in the scaffold.</w:t>
      </w:r>
    </w:p>
    <w:p>
      <w:r>
        <w:t>- Semantic analysis is conservative and symbolic; it does not prove all control-flow paths.</w:t>
      </w:r>
    </w:p>
    <w:p>
      <w:r>
        <w:t>- Audit-token matching is simplified to a previous-audit dependency; full subject-hash matching belongs in v0.2.</w:t>
      </w:r>
    </w:p>
    <w:p>
      <w:r>
        <w:t>- NVOBJ is a compressed container, not a final relocatable executable format.</w:t>
      </w:r>
    </w:p>
    <w:p>
      <w:r>
        <w:t>- RTL vectors are smoke-test vectors, not complete cycle-accurate wave specifications.</w:t>
      </w:r>
    </w:p>
    <w:p>
      <w:pPr>
        <w:pStyle w:val="Heading1"/>
      </w:pPr>
      <w:r>
        <w:t>13. Next Implementation Steps</w:t>
      </w:r>
    </w:p>
    <w:p>
      <w:r>
        <w:t>- Replace the line parser with formal grammar-backed parsing.</w:t>
      </w:r>
    </w:p>
    <w:p>
      <w:r>
        <w:t>- Implement operand type table validation from the NVASM spec.</w:t>
      </w:r>
    </w:p>
    <w:p>
      <w:r>
        <w:t>- Add full control-flow graph and branch-sensitive audit-token dominance checks.</w:t>
      </w:r>
    </w:p>
    <w:p>
      <w:r>
        <w:t>- Add NVOBJ section table for .text, .data, .state, .policy, .topology, .tensor, .quantum, .debug, and .sig.</w:t>
      </w:r>
    </w:p>
    <w:p>
      <w:r>
        <w:t>- Generate phase-specific RTL vectors: RSM rollback, Aegis commit, topology fabric, tensor NPU, quantum bridge, and SoC integration.</w:t>
      </w:r>
    </w:p>
    <w:p>
      <w:r>
        <w:t>- Add an NVVM interpreter that consumes the emitted NVIR directly.</w:t>
      </w:r>
    </w:p>
    <w:p>
      <w:r>
        <w:t>- Add regression tests that compare NVIR output against golden JSON.</w:t>
      </w:r>
    </w:p>
    <w:p>
      <w:pPr>
        <w:pStyle w:val="Heading1"/>
      </w:pPr>
      <w:r>
        <w:t>14. Final Integration Rule</w:t>
      </w:r>
    </w:p>
    <w:p>
      <w:r>
        <w:t>The compiler bridge must never erase the parts that make NVISC distinct. A normal compiler lowers code into operations. The NVISC compiler bridge lowers code into operations plus state lineage, branch ownership, trust requirements, topology movement, tensor/quantum domain boundaries, rollback safety, and commit eligibility.</w:t>
      </w:r>
    </w:p>
    <w:p>
      <w:pPr>
        <w:pStyle w:val="NoSpacing"/>
      </w:pPr>
      <w:r>
        <w:rPr>
          <w:rFonts w:ascii="Courier New" w:hAnsi="Courier New" w:eastAsia="Courier New"/>
          <w:sz w:val="16"/>
        </w:rPr>
        <w:t>NVVM executes NVIR.</w:t>
        <w:br/>
        <w:t>NVRT schedules NVIR.</w:t>
        <w:br/>
        <w:t>Nexus-V RTL validates NVIR-derived vectors.</w:t>
        <w:br/>
        <w:t>Aegis decides which state transitions may become trusted.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