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thena-memory-architecture-v1.0"/>
    <w:p>
      <w:pPr>
        <w:pStyle w:val="Heading1"/>
      </w:pPr>
      <w:r>
        <w:t xml:space="preserve">Athena Memory Architecture v1.0</w:t>
      </w:r>
    </w:p>
    <w:bookmarkStart w:id="21" w:name="X0e7f8de0c8926d00c580a75c2741f3c711a3fca"/>
    <w:p>
      <w:pPr>
        <w:pStyle w:val="Heading2"/>
      </w:pPr>
      <w:r>
        <w:t xml:space="preserve">Institutional Memory, Workspace Memory, and Call Memory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Athena is designed as a cognitive prosthetic and institutional intelligence framework rather than a traditional AI assistant.</w:t>
      </w:r>
    </w:p>
    <w:p>
      <w:pPr>
        <w:pStyle w:val="BodyText"/>
      </w:pPr>
      <w:r>
        <w:t xml:space="preserve">A key design challenge is allowing intelligence to become highly specialized for a project, task, or conversation without corrupting the system’s general knowledge base.</w:t>
      </w:r>
    </w:p>
    <w:p>
      <w:pPr>
        <w:pStyle w:val="BodyText"/>
      </w:pPr>
      <w:r>
        <w:t xml:space="preserve">This architecture solves that problem through layered memory isolation and controlled knowledge promotion.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Athena does not think from a single memory.</w:t>
      </w:r>
    </w:p>
    <w:p>
      <w:pPr>
        <w:pStyle w:val="BodyText"/>
      </w:pPr>
      <w:r>
        <w:t xml:space="preserve">Athena thinks through progressively specialized memory layers.</w:t>
      </w:r>
    </w:p>
    <w:p>
      <w:pPr>
        <w:pStyle w:val="BodyText"/>
      </w:pPr>
      <w:r>
        <w:t xml:space="preserve">Each layer provides additional context while protecting higher-level knowledge from contamination.</w:t>
      </w:r>
    </w:p>
    <w:p>
      <w:pPr>
        <w:pStyle w:val="BodyText"/>
      </w:pPr>
      <w:r>
        <w:t xml:space="preserve">The system learns locally, validates globally, and preserves institutional integrity.</w:t>
      </w:r>
    </w:p>
    <w:p>
      <w:r>
        <w:pict>
          <v:rect style="width:0;height:1.5pt" o:hralign="center" o:hrstd="t" o:hr="t"/>
        </w:pict>
      </w:r>
    </w:p>
    <w:bookmarkEnd w:id="23"/>
    <w:bookmarkStart w:id="39" w:name="memory-hierarchy"/>
    <w:p>
      <w:pPr>
        <w:pStyle w:val="Heading1"/>
      </w:pPr>
      <w:r>
        <w:t xml:space="preserve">Memory Hierarchy</w:t>
      </w:r>
    </w:p>
    <w:bookmarkStart w:id="28" w:name="layer-1-institutional-memory"/>
    <w:p>
      <w:pPr>
        <w:pStyle w:val="Heading2"/>
      </w:pPr>
      <w:r>
        <w:t xml:space="preserve">Layer 1 — Institutional Memory</w:t>
      </w:r>
    </w:p>
    <w:bookmarkStart w:id="24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Athena’s permanent cognitive foundation.</w:t>
      </w:r>
    </w:p>
    <w:p>
      <w:pPr>
        <w:pStyle w:val="BodyText"/>
      </w:pPr>
      <w:r>
        <w:t xml:space="preserve">This layer contains generalized knowledge, skills, procedures, governance, identity, and institutional learning.</w:t>
      </w:r>
    </w:p>
    <w:bookmarkEnd w:id="24"/>
    <w:bookmarkStart w:id="25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Core skills</w:t>
      </w:r>
    </w:p>
    <w:p>
      <w:pPr>
        <w:pStyle w:val="Compact"/>
        <w:numPr>
          <w:ilvl w:val="0"/>
          <w:numId w:val="1001"/>
        </w:numPr>
      </w:pPr>
      <w:r>
        <w:t xml:space="preserve">Coding methodologies</w:t>
      </w:r>
    </w:p>
    <w:p>
      <w:pPr>
        <w:pStyle w:val="Compact"/>
        <w:numPr>
          <w:ilvl w:val="0"/>
          <w:numId w:val="1001"/>
        </w:numPr>
      </w:pPr>
      <w:r>
        <w:t xml:space="preserve">Governance rules</w:t>
      </w:r>
    </w:p>
    <w:p>
      <w:pPr>
        <w:pStyle w:val="Compact"/>
        <w:numPr>
          <w:ilvl w:val="0"/>
          <w:numId w:val="1001"/>
        </w:numPr>
      </w:pPr>
      <w:r>
        <w:t xml:space="preserve">Organizational procedures</w:t>
      </w:r>
    </w:p>
    <w:p>
      <w:pPr>
        <w:pStyle w:val="Compact"/>
        <w:numPr>
          <w:ilvl w:val="0"/>
          <w:numId w:val="1001"/>
        </w:numPr>
      </w:pPr>
      <w:r>
        <w:t xml:space="preserve">Knowledge graph structures</w:t>
      </w:r>
    </w:p>
    <w:p>
      <w:pPr>
        <w:pStyle w:val="Compact"/>
        <w:numPr>
          <w:ilvl w:val="0"/>
          <w:numId w:val="1001"/>
        </w:numPr>
      </w:pPr>
      <w:r>
        <w:t xml:space="preserve">Learned patterns</w:t>
      </w:r>
    </w:p>
    <w:p>
      <w:pPr>
        <w:pStyle w:val="Compact"/>
        <w:numPr>
          <w:ilvl w:val="0"/>
          <w:numId w:val="1001"/>
        </w:numPr>
      </w:pPr>
      <w:r>
        <w:t xml:space="preserve">Project-independent lessons</w:t>
      </w:r>
    </w:p>
    <w:bookmarkEnd w:id="25"/>
    <w:bookmarkStart w:id="26" w:name="properties"/>
    <w:p>
      <w:pPr>
        <w:pStyle w:val="Heading3"/>
      </w:pPr>
      <w:r>
        <w:t xml:space="preserve">Properties</w:t>
      </w:r>
    </w:p>
    <w:p>
      <w:pPr>
        <w:pStyle w:val="Compact"/>
        <w:numPr>
          <w:ilvl w:val="0"/>
          <w:numId w:val="1002"/>
        </w:numPr>
      </w:pPr>
      <w:r>
        <w:t xml:space="preserve">Persistent</w:t>
      </w:r>
    </w:p>
    <w:p>
      <w:pPr>
        <w:pStyle w:val="Compact"/>
        <w:numPr>
          <w:ilvl w:val="0"/>
          <w:numId w:val="1002"/>
        </w:numPr>
      </w:pPr>
      <w:r>
        <w:t xml:space="preserve">Shared globally</w:t>
      </w:r>
    </w:p>
    <w:p>
      <w:pPr>
        <w:pStyle w:val="Compact"/>
        <w:numPr>
          <w:ilvl w:val="0"/>
          <w:numId w:val="1002"/>
        </w:numPr>
      </w:pPr>
      <w:r>
        <w:t xml:space="preserve">Audited</w:t>
      </w:r>
    </w:p>
    <w:p>
      <w:pPr>
        <w:pStyle w:val="Compact"/>
        <w:numPr>
          <w:ilvl w:val="0"/>
          <w:numId w:val="1002"/>
        </w:numPr>
      </w:pPr>
      <w:r>
        <w:t xml:space="preserve">Versioned</w:t>
      </w:r>
    </w:p>
    <w:p>
      <w:pPr>
        <w:pStyle w:val="Compact"/>
        <w:numPr>
          <w:ilvl w:val="0"/>
          <w:numId w:val="1002"/>
        </w:numPr>
      </w:pPr>
      <w:r>
        <w:t xml:space="preserve">Highly protected</w:t>
      </w:r>
    </w:p>
    <w:bookmarkEnd w:id="26"/>
    <w:bookmarkStart w:id="27" w:name="analogy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Equivalent to:</w:t>
      </w:r>
    </w:p>
    <w:p>
      <w:pPr>
        <w:pStyle w:val="Compact"/>
        <w:numPr>
          <w:ilvl w:val="0"/>
          <w:numId w:val="1003"/>
        </w:numPr>
      </w:pPr>
      <w:r>
        <w:t xml:space="preserve">Human education</w:t>
      </w:r>
    </w:p>
    <w:p>
      <w:pPr>
        <w:pStyle w:val="Compact"/>
        <w:numPr>
          <w:ilvl w:val="0"/>
          <w:numId w:val="1003"/>
        </w:numPr>
      </w:pPr>
      <w:r>
        <w:t xml:space="preserve">Professional experience</w:t>
      </w:r>
    </w:p>
    <w:p>
      <w:pPr>
        <w:pStyle w:val="Compact"/>
        <w:numPr>
          <w:ilvl w:val="0"/>
          <w:numId w:val="1003"/>
        </w:numPr>
      </w:pPr>
      <w:r>
        <w:t xml:space="preserve">Organizational knowledge</w:t>
      </w:r>
    </w:p>
    <w:p>
      <w:pPr>
        <w:pStyle w:val="Compact"/>
        <w:numPr>
          <w:ilvl w:val="0"/>
          <w:numId w:val="1003"/>
        </w:numPr>
      </w:pPr>
      <w:r>
        <w:t xml:space="preserve">Civilization-level memory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layer-2-workspace-memory"/>
    <w:p>
      <w:pPr>
        <w:pStyle w:val="Heading2"/>
      </w:pPr>
      <w:r>
        <w:t xml:space="preserve">Layer 2 — Workspace Memory</w:t>
      </w:r>
    </w:p>
    <w:bookmarkStart w:id="29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 project-specific specialization of institutional memory.</w:t>
      </w:r>
    </w:p>
    <w:p>
      <w:pPr>
        <w:pStyle w:val="BodyText"/>
      </w:pPr>
      <w:r>
        <w:t xml:space="preserve">Workspace memory creates a contextual clone of the institutional brain that is focused on a specific project, department, organization, customer, research topic, or mission.</w:t>
      </w:r>
    </w:p>
    <w:bookmarkEnd w:id="29"/>
    <w:bookmarkStart w:id="30" w:name="examples-1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Project Athena</w:t>
      </w:r>
    </w:p>
    <w:p>
      <w:pPr>
        <w:pStyle w:val="Compact"/>
        <w:numPr>
          <w:ilvl w:val="0"/>
          <w:numId w:val="1004"/>
        </w:numPr>
      </w:pPr>
      <w:r>
        <w:t xml:space="preserve">Current architecture</w:t>
      </w:r>
    </w:p>
    <w:p>
      <w:pPr>
        <w:pStyle w:val="Compact"/>
        <w:numPr>
          <w:ilvl w:val="0"/>
          <w:numId w:val="1004"/>
        </w:numPr>
      </w:pPr>
      <w:r>
        <w:t xml:space="preserve">Open design decisions</w:t>
      </w:r>
    </w:p>
    <w:p>
      <w:pPr>
        <w:pStyle w:val="Compact"/>
        <w:numPr>
          <w:ilvl w:val="0"/>
          <w:numId w:val="1004"/>
        </w:numPr>
      </w:pPr>
      <w:r>
        <w:t xml:space="preserve">Project terminology</w:t>
      </w:r>
    </w:p>
    <w:p>
      <w:pPr>
        <w:pStyle w:val="Compact"/>
        <w:numPr>
          <w:ilvl w:val="0"/>
          <w:numId w:val="1004"/>
        </w:numPr>
      </w:pPr>
      <w:r>
        <w:t xml:space="preserve">Roadmaps</w:t>
      </w:r>
    </w:p>
    <w:p>
      <w:pPr>
        <w:pStyle w:val="Compact"/>
        <w:numPr>
          <w:ilvl w:val="0"/>
          <w:numId w:val="1004"/>
        </w:numPr>
      </w:pPr>
      <w:r>
        <w:t xml:space="preserve">Technical assumptions</w:t>
      </w:r>
    </w:p>
    <w:p>
      <w:pPr>
        <w:pStyle w:val="FirstParagraph"/>
      </w:pPr>
      <w:r>
        <w:t xml:space="preserve">Nexus-V</w:t>
      </w:r>
    </w:p>
    <w:p>
      <w:pPr>
        <w:pStyle w:val="Compact"/>
        <w:numPr>
          <w:ilvl w:val="0"/>
          <w:numId w:val="1005"/>
        </w:numPr>
      </w:pPr>
      <w:r>
        <w:t xml:space="preserve">Hardware specifications</w:t>
      </w:r>
    </w:p>
    <w:p>
      <w:pPr>
        <w:pStyle w:val="Compact"/>
        <w:numPr>
          <w:ilvl w:val="0"/>
          <w:numId w:val="1005"/>
        </w:numPr>
      </w:pPr>
      <w:r>
        <w:t xml:space="preserve">Processor designs</w:t>
      </w:r>
    </w:p>
    <w:p>
      <w:pPr>
        <w:pStyle w:val="Compact"/>
        <w:numPr>
          <w:ilvl w:val="0"/>
          <w:numId w:val="1005"/>
        </w:numPr>
      </w:pPr>
      <w:r>
        <w:t xml:space="preserve">Interconnect models</w:t>
      </w:r>
    </w:p>
    <w:p>
      <w:pPr>
        <w:pStyle w:val="Compact"/>
        <w:numPr>
          <w:ilvl w:val="0"/>
          <w:numId w:val="1005"/>
        </w:numPr>
      </w:pPr>
      <w:r>
        <w:t xml:space="preserve">Manufacturing plans</w:t>
      </w:r>
    </w:p>
    <w:bookmarkEnd w:id="30"/>
    <w:bookmarkStart w:id="31" w:name="properties-1"/>
    <w:p>
      <w:pPr>
        <w:pStyle w:val="Heading3"/>
      </w:pPr>
      <w:r>
        <w:t xml:space="preserve">Properties</w:t>
      </w:r>
    </w:p>
    <w:p>
      <w:pPr>
        <w:pStyle w:val="Compact"/>
        <w:numPr>
          <w:ilvl w:val="0"/>
          <w:numId w:val="1006"/>
        </w:numPr>
      </w:pPr>
      <w:r>
        <w:t xml:space="preserve">Scoped</w:t>
      </w:r>
    </w:p>
    <w:p>
      <w:pPr>
        <w:pStyle w:val="Compact"/>
        <w:numPr>
          <w:ilvl w:val="0"/>
          <w:numId w:val="1006"/>
        </w:numPr>
      </w:pPr>
      <w:r>
        <w:t xml:space="preserve">Semi-persistent</w:t>
      </w:r>
    </w:p>
    <w:p>
      <w:pPr>
        <w:pStyle w:val="Compact"/>
        <w:numPr>
          <w:ilvl w:val="0"/>
          <w:numId w:val="1006"/>
        </w:numPr>
      </w:pPr>
      <w:r>
        <w:t xml:space="preserve">Context-specific</w:t>
      </w:r>
    </w:p>
    <w:p>
      <w:pPr>
        <w:pStyle w:val="Compact"/>
        <w:numPr>
          <w:ilvl w:val="0"/>
          <w:numId w:val="1006"/>
        </w:numPr>
      </w:pPr>
      <w:r>
        <w:t xml:space="preserve">Inherits institutional memory</w:t>
      </w:r>
    </w:p>
    <w:p>
      <w:pPr>
        <w:pStyle w:val="Compact"/>
        <w:numPr>
          <w:ilvl w:val="0"/>
          <w:numId w:val="1006"/>
        </w:numPr>
      </w:pPr>
      <w:r>
        <w:t xml:space="preserve">Cannot directly overwrite institutional memory</w:t>
      </w:r>
    </w:p>
    <w:bookmarkEnd w:id="31"/>
    <w:bookmarkStart w:id="32" w:name="analogy-1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Equivalent to a team or department becoming experts within a specific field while remaining part of a larger organization.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layer-3-call-memory"/>
    <w:p>
      <w:pPr>
        <w:pStyle w:val="Heading2"/>
      </w:pPr>
      <w:r>
        <w:t xml:space="preserve">Layer 3 — Call Memory</w:t>
      </w:r>
    </w:p>
    <w:bookmarkStart w:id="34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Temporary task-specific cognition.</w:t>
      </w:r>
    </w:p>
    <w:p>
      <w:pPr>
        <w:pStyle w:val="BodyText"/>
      </w:pPr>
      <w:r>
        <w:t xml:space="preserve">Call memory acts as a clean-room reasoning environment for a single interaction, conversation, workflow, agent execution, or task.</w:t>
      </w:r>
    </w:p>
    <w:bookmarkEnd w:id="34"/>
    <w:bookmarkStart w:id="35" w:name="examples-2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7"/>
        </w:numPr>
      </w:pPr>
      <w:r>
        <w:t xml:space="preserve">Current chat context</w:t>
      </w:r>
    </w:p>
    <w:p>
      <w:pPr>
        <w:pStyle w:val="Compact"/>
        <w:numPr>
          <w:ilvl w:val="0"/>
          <w:numId w:val="1007"/>
        </w:numPr>
      </w:pPr>
      <w:r>
        <w:t xml:space="preserve">Temporary assumptions</w:t>
      </w:r>
    </w:p>
    <w:p>
      <w:pPr>
        <w:pStyle w:val="Compact"/>
        <w:numPr>
          <w:ilvl w:val="0"/>
          <w:numId w:val="1007"/>
        </w:numPr>
      </w:pPr>
      <w:r>
        <w:t xml:space="preserve">Scratchpad reasoning</w:t>
      </w:r>
    </w:p>
    <w:p>
      <w:pPr>
        <w:pStyle w:val="Compact"/>
        <w:numPr>
          <w:ilvl w:val="0"/>
          <w:numId w:val="1007"/>
        </w:numPr>
      </w:pPr>
      <w:r>
        <w:t xml:space="preserve">Intermediate calculations</w:t>
      </w:r>
    </w:p>
    <w:p>
      <w:pPr>
        <w:pStyle w:val="Compact"/>
        <w:numPr>
          <w:ilvl w:val="0"/>
          <w:numId w:val="1007"/>
        </w:numPr>
      </w:pPr>
      <w:r>
        <w:t xml:space="preserve">Experimental ideas</w:t>
      </w:r>
    </w:p>
    <w:p>
      <w:pPr>
        <w:pStyle w:val="Compact"/>
        <w:numPr>
          <w:ilvl w:val="0"/>
          <w:numId w:val="1007"/>
        </w:numPr>
      </w:pPr>
      <w:r>
        <w:t xml:space="preserve">Active workflows</w:t>
      </w:r>
    </w:p>
    <w:bookmarkEnd w:id="35"/>
    <w:bookmarkStart w:id="36" w:name="properties-2"/>
    <w:p>
      <w:pPr>
        <w:pStyle w:val="Heading3"/>
      </w:pPr>
      <w:r>
        <w:t xml:space="preserve">Properties</w:t>
      </w:r>
    </w:p>
    <w:p>
      <w:pPr>
        <w:pStyle w:val="Compact"/>
        <w:numPr>
          <w:ilvl w:val="0"/>
          <w:numId w:val="1008"/>
        </w:numPr>
      </w:pPr>
      <w:r>
        <w:t xml:space="preserve">Highly specialized</w:t>
      </w:r>
    </w:p>
    <w:p>
      <w:pPr>
        <w:pStyle w:val="Compact"/>
        <w:numPr>
          <w:ilvl w:val="0"/>
          <w:numId w:val="1008"/>
        </w:numPr>
      </w:pPr>
      <w:r>
        <w:t xml:space="preserve">Ephemeral</w:t>
      </w:r>
    </w:p>
    <w:p>
      <w:pPr>
        <w:pStyle w:val="Compact"/>
        <w:numPr>
          <w:ilvl w:val="0"/>
          <w:numId w:val="1008"/>
        </w:numPr>
      </w:pPr>
      <w:r>
        <w:t xml:space="preserve">Disposable</w:t>
      </w:r>
    </w:p>
    <w:p>
      <w:pPr>
        <w:pStyle w:val="Compact"/>
        <w:numPr>
          <w:ilvl w:val="0"/>
          <w:numId w:val="1008"/>
        </w:numPr>
      </w:pPr>
      <w:r>
        <w:t xml:space="preserve">Isolated</w:t>
      </w:r>
    </w:p>
    <w:p>
      <w:pPr>
        <w:pStyle w:val="Compact"/>
        <w:numPr>
          <w:ilvl w:val="0"/>
          <w:numId w:val="1008"/>
        </w:numPr>
      </w:pPr>
      <w:r>
        <w:t xml:space="preserve">Safe to experiment within</w:t>
      </w:r>
    </w:p>
    <w:bookmarkEnd w:id="36"/>
    <w:bookmarkStart w:id="37" w:name="analogy-2"/>
    <w:p>
      <w:pPr>
        <w:pStyle w:val="Heading3"/>
      </w:pPr>
      <w:r>
        <w:t xml:space="preserve">Analogy</w:t>
      </w:r>
    </w:p>
    <w:p>
      <w:pPr>
        <w:pStyle w:val="FirstParagraph"/>
      </w:pPr>
      <w:r>
        <w:t xml:space="preserve">Equivalent to human working memory.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memory-creation-flow"/>
    <w:p>
      <w:pPr>
        <w:pStyle w:val="Heading1"/>
      </w:pPr>
      <w:r>
        <w:t xml:space="preserve">Memory Creation Flow</w:t>
      </w:r>
    </w:p>
    <w:p>
      <w:pPr>
        <w:pStyle w:val="FirstParagraph"/>
      </w:pPr>
      <w:r>
        <w:t xml:space="preserve">Institutional Memory</w:t>
      </w:r>
      <w:r>
        <w:t xml:space="preserve"> </w:t>
      </w:r>
      <w:r>
        <w:t xml:space="preserve">↓</w:t>
      </w:r>
      <w:r>
        <w:t xml:space="preserve"> </w:t>
      </w:r>
      <w:r>
        <w:t xml:space="preserve">Workspace Memory Clone</w:t>
      </w:r>
      <w:r>
        <w:t xml:space="preserve"> </w:t>
      </w:r>
      <w:r>
        <w:t xml:space="preserve">↓</w:t>
      </w:r>
      <w:r>
        <w:t xml:space="preserve"> </w:t>
      </w:r>
      <w:r>
        <w:t xml:space="preserve">Call Memory Clone</w:t>
      </w:r>
      <w:r>
        <w:t xml:space="preserve"> </w:t>
      </w:r>
      <w:r>
        <w:t xml:space="preserve">↓</w:t>
      </w:r>
      <w:r>
        <w:t xml:space="preserve"> </w:t>
      </w:r>
      <w:r>
        <w:t xml:space="preserve">Reasoning</w:t>
      </w:r>
      <w:r>
        <w:t xml:space="preserve"> </w:t>
      </w:r>
      <w:r>
        <w:t xml:space="preserve">↓</w:t>
      </w:r>
      <w:r>
        <w:t xml:space="preserve"> </w:t>
      </w:r>
      <w:r>
        <w:t xml:space="preserve">Results</w:t>
      </w:r>
    </w:p>
    <w:p>
      <w:pPr>
        <w:pStyle w:val="BodyText"/>
      </w:pPr>
      <w:r>
        <w:t xml:space="preserve">Each layer becomes increasingly specialized while maintaining isolation from the parent layer.</w:t>
      </w:r>
    </w:p>
    <w:p>
      <w:r>
        <w:pict>
          <v:rect style="width:0;height:1.5pt" o:hralign="center" o:hrstd="t" o:hr="t"/>
        </w:pict>
      </w:r>
    </w:p>
    <w:bookmarkEnd w:id="40"/>
    <w:bookmarkStart w:id="41" w:name="anti-contamination-design"/>
    <w:p>
      <w:pPr>
        <w:pStyle w:val="Heading1"/>
      </w:pPr>
      <w:r>
        <w:t xml:space="preserve">Anti-Contamination Design</w:t>
      </w:r>
    </w:p>
    <w:p>
      <w:pPr>
        <w:pStyle w:val="FirstParagraph"/>
      </w:pPr>
      <w:r>
        <w:t xml:space="preserve">Without memory isolation:</w:t>
      </w:r>
    </w:p>
    <w:p>
      <w:pPr>
        <w:pStyle w:val="BodyText"/>
      </w:pPr>
      <w:r>
        <w:t xml:space="preserve">Everything learns from everything.</w:t>
      </w:r>
    </w:p>
    <w:p>
      <w:pPr>
        <w:pStyle w:val="BodyText"/>
      </w:pPr>
      <w:r>
        <w:t xml:space="preserve">This causes:</w:t>
      </w:r>
    </w:p>
    <w:p>
      <w:pPr>
        <w:pStyle w:val="Compact"/>
        <w:numPr>
          <w:ilvl w:val="0"/>
          <w:numId w:val="1009"/>
        </w:numPr>
      </w:pPr>
      <w:r>
        <w:t xml:space="preserve">Context pollution</w:t>
      </w:r>
    </w:p>
    <w:p>
      <w:pPr>
        <w:pStyle w:val="Compact"/>
        <w:numPr>
          <w:ilvl w:val="0"/>
          <w:numId w:val="1009"/>
        </w:numPr>
      </w:pPr>
      <w:r>
        <w:t xml:space="preserve">Contradictions</w:t>
      </w:r>
    </w:p>
    <w:p>
      <w:pPr>
        <w:pStyle w:val="Compact"/>
        <w:numPr>
          <w:ilvl w:val="0"/>
          <w:numId w:val="1009"/>
        </w:numPr>
      </w:pPr>
      <w:r>
        <w:t xml:space="preserve">Hallucinated assumptions</w:t>
      </w:r>
    </w:p>
    <w:p>
      <w:pPr>
        <w:pStyle w:val="Compact"/>
        <w:numPr>
          <w:ilvl w:val="0"/>
          <w:numId w:val="1009"/>
        </w:numPr>
      </w:pPr>
      <w:r>
        <w:t xml:space="preserve">Knowledge drift</w:t>
      </w:r>
    </w:p>
    <w:p>
      <w:pPr>
        <w:pStyle w:val="Compact"/>
        <w:numPr>
          <w:ilvl w:val="0"/>
          <w:numId w:val="1009"/>
        </w:numPr>
      </w:pPr>
      <w:r>
        <w:t xml:space="preserve">Organizational confusion</w:t>
      </w:r>
    </w:p>
    <w:p>
      <w:pPr>
        <w:pStyle w:val="FirstParagraph"/>
      </w:pPr>
      <w:r>
        <w:t xml:space="preserve">Athena prevents this through memory boundaries.</w:t>
      </w:r>
    </w:p>
    <w:p>
      <w:pPr>
        <w:pStyle w:val="BodyText"/>
      </w:pPr>
      <w:r>
        <w:t xml:space="preserve">Local assumptions remain local until validated.</w:t>
      </w:r>
    </w:p>
    <w:p>
      <w:r>
        <w:pict>
          <v:rect style="width:0;height:1.5pt" o:hralign="center" o:hrstd="t" o:hr="t"/>
        </w:pict>
      </w:r>
    </w:p>
    <w:bookmarkEnd w:id="41"/>
    <w:bookmarkStart w:id="42" w:name="learning-pipeline"/>
    <w:p>
      <w:pPr>
        <w:pStyle w:val="Heading1"/>
      </w:pPr>
      <w:r>
        <w:t xml:space="preserve">Learning Pipeline</w:t>
      </w:r>
    </w:p>
    <w:p>
      <w:pPr>
        <w:pStyle w:val="FirstParagraph"/>
      </w:pPr>
      <w:r>
        <w:t xml:space="preserve">Athena never automatically promotes information from call memory into institutional memory.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Experience</w:t>
      </w:r>
      <w:r>
        <w:t xml:space="preserve"> </w:t>
      </w:r>
      <w:r>
        <w:t xml:space="preserve">↓</w:t>
      </w:r>
      <w:r>
        <w:t xml:space="preserve"> </w:t>
      </w:r>
      <w:r>
        <w:t xml:space="preserve">Observation</w:t>
      </w:r>
      <w:r>
        <w:t xml:space="preserve"> </w:t>
      </w:r>
      <w:r>
        <w:t xml:space="preserve">↓</w:t>
      </w:r>
      <w:r>
        <w:t xml:space="preserve"> </w:t>
      </w:r>
      <w:r>
        <w:t xml:space="preserve">Pattern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Generalization</w:t>
      </w:r>
      <w:r>
        <w:t xml:space="preserve"> </w:t>
      </w:r>
      <w:r>
        <w:t xml:space="preserve">↓</w:t>
      </w:r>
      <w:r>
        <w:t xml:space="preserve"> </w:t>
      </w:r>
      <w:r>
        <w:t xml:space="preserve">Validation</w:t>
      </w:r>
      <w:r>
        <w:t xml:space="preserve"> </w:t>
      </w:r>
      <w:r>
        <w:t xml:space="preserve">↓</w:t>
      </w:r>
      <w:r>
        <w:t xml:space="preserve"> </w:t>
      </w:r>
      <w:r>
        <w:t xml:space="preserve">Governance Review</w:t>
      </w:r>
      <w:r>
        <w:t xml:space="preserve"> </w:t>
      </w:r>
      <w:r>
        <w:t xml:space="preserve">↓</w:t>
      </w:r>
      <w:r>
        <w:t xml:space="preserve"> </w:t>
      </w:r>
      <w:r>
        <w:t xml:space="preserve">Institutional Memory</w:t>
      </w:r>
    </w:p>
    <w:p>
      <w:r>
        <w:pict>
          <v:rect style="width:0;height:1.5pt" o:hralign="center" o:hrstd="t" o:hr="t"/>
        </w:pict>
      </w:r>
    </w:p>
    <w:bookmarkEnd w:id="42"/>
    <w:bookmarkStart w:id="44" w:name="regeneralization-engine"/>
    <w:p>
      <w:pPr>
        <w:pStyle w:val="Heading1"/>
      </w:pPr>
      <w:r>
        <w:t xml:space="preserve">Regeneralization Engine</w:t>
      </w:r>
    </w:p>
    <w:p>
      <w:pPr>
        <w:pStyle w:val="FirstParagraph"/>
      </w:pPr>
      <w:r>
        <w:t xml:space="preserve">The Regeneralization Engine is responsible for transforming local discoveries into generalized knowledge.</w:t>
      </w:r>
    </w:p>
    <w:bookmarkStart w:id="43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Call Memory discovers:</w:t>
      </w:r>
    </w:p>
    <w:p>
      <w:pPr>
        <w:pStyle w:val="BodyText"/>
      </w:pPr>
      <w:r>
        <w:t xml:space="preserve">“This parser improves processing of Athena architecture documents.”</w:t>
      </w:r>
    </w:p>
    <w:p>
      <w:pPr>
        <w:pStyle w:val="BodyText"/>
      </w:pPr>
      <w:r>
        <w:t xml:space="preserve">The system asks:</w:t>
      </w:r>
    </w:p>
    <w:p>
      <w:pPr>
        <w:pStyle w:val="BodyText"/>
      </w:pPr>
      <w:r>
        <w:t xml:space="preserve">Is this:</w:t>
      </w:r>
    </w:p>
    <w:p>
      <w:pPr>
        <w:pStyle w:val="Compact"/>
        <w:numPr>
          <w:ilvl w:val="0"/>
          <w:numId w:val="1010"/>
        </w:numPr>
      </w:pPr>
      <w:r>
        <w:t xml:space="preserve">Call-specific?</w:t>
      </w:r>
    </w:p>
    <w:p>
      <w:pPr>
        <w:pStyle w:val="Compact"/>
        <w:numPr>
          <w:ilvl w:val="0"/>
          <w:numId w:val="1010"/>
        </w:numPr>
      </w:pPr>
      <w:r>
        <w:t xml:space="preserve">Workspace-specific?</w:t>
      </w:r>
    </w:p>
    <w:p>
      <w:pPr>
        <w:pStyle w:val="Compact"/>
        <w:numPr>
          <w:ilvl w:val="0"/>
          <w:numId w:val="1010"/>
        </w:numPr>
      </w:pPr>
      <w:r>
        <w:t xml:space="preserve">Institutionally useful?</w:t>
      </w:r>
    </w:p>
    <w:p>
      <w:pPr>
        <w:pStyle w:val="FirstParagraph"/>
      </w:pPr>
      <w:r>
        <w:t xml:space="preserve">If institutionally useful:</w:t>
      </w:r>
    </w:p>
    <w:p>
      <w:pPr>
        <w:pStyle w:val="BodyText"/>
      </w:pPr>
      <w:r>
        <w:t xml:space="preserve">Local Discovery</w:t>
      </w:r>
      <w:r>
        <w:t xml:space="preserve"> </w:t>
      </w:r>
      <w:r>
        <w:t xml:space="preserve">↓</w:t>
      </w:r>
      <w:r>
        <w:t xml:space="preserve"> </w:t>
      </w:r>
      <w:r>
        <w:t xml:space="preserve">Abstract Pattern</w:t>
      </w:r>
      <w:r>
        <w:t xml:space="preserve"> </w:t>
      </w:r>
      <w:r>
        <w:t xml:space="preserve">↓</w:t>
      </w:r>
      <w:r>
        <w:t xml:space="preserve"> </w:t>
      </w:r>
      <w:r>
        <w:t xml:space="preserve">Reusable Skill</w:t>
      </w:r>
      <w:r>
        <w:t xml:space="preserve"> </w:t>
      </w:r>
      <w:r>
        <w:t xml:space="preserve">↓</w:t>
      </w:r>
      <w:r>
        <w:t xml:space="preserve"> </w:t>
      </w:r>
      <w:r>
        <w:t xml:space="preserve">Validation</w:t>
      </w:r>
      <w:r>
        <w:t xml:space="preserve"> </w:t>
      </w:r>
      <w:r>
        <w:t xml:space="preserve">↓</w:t>
      </w:r>
      <w:r>
        <w:t xml:space="preserve"> </w:t>
      </w:r>
      <w:r>
        <w:t xml:space="preserve">Institutional Memory</w:t>
      </w:r>
    </w:p>
    <w:p>
      <w:pPr>
        <w:pStyle w:val="BodyText"/>
      </w:pPr>
      <w:r>
        <w:t xml:space="preserve">The lesson becomes available to all future projects.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knowledge-promotion-levels"/>
    <w:p>
      <w:pPr>
        <w:pStyle w:val="Heading1"/>
      </w:pPr>
      <w:r>
        <w:t xml:space="preserve">Knowledge Promotion Levels</w:t>
      </w:r>
    </w:p>
    <w:p>
      <w:pPr>
        <w:pStyle w:val="FirstParagraph"/>
      </w:pPr>
      <w:r>
        <w:t xml:space="preserve">Level 0</w:t>
      </w:r>
      <w:r>
        <w:t xml:space="preserve"> </w:t>
      </w:r>
      <w:r>
        <w:t xml:space="preserve">Call Memory Only</w:t>
      </w:r>
    </w:p>
    <w:p>
      <w:pPr>
        <w:pStyle w:val="BodyText"/>
      </w:pPr>
      <w:r>
        <w:t xml:space="preserve">Level 1</w:t>
      </w:r>
      <w:r>
        <w:t xml:space="preserve"> </w:t>
      </w:r>
      <w:r>
        <w:t xml:space="preserve">Workspace Knowledge</w:t>
      </w:r>
    </w:p>
    <w:p>
      <w:pPr>
        <w:pStyle w:val="BodyText"/>
      </w:pPr>
      <w:r>
        <w:t xml:space="preserve">Level 2</w:t>
      </w:r>
      <w:r>
        <w:t xml:space="preserve"> </w:t>
      </w:r>
      <w:r>
        <w:t xml:space="preserve">Shared Workspace Knowledge</w:t>
      </w:r>
    </w:p>
    <w:p>
      <w:pPr>
        <w:pStyle w:val="BodyText"/>
      </w:pPr>
      <w:r>
        <w:t xml:space="preserve">Level 3</w:t>
      </w:r>
      <w:r>
        <w:t xml:space="preserve"> </w:t>
      </w:r>
      <w:r>
        <w:t xml:space="preserve">Institutional Knowledge</w:t>
      </w:r>
    </w:p>
    <w:p>
      <w:pPr>
        <w:pStyle w:val="BodyText"/>
      </w:pPr>
      <w:r>
        <w:t xml:space="preserve">Level 4</w:t>
      </w:r>
      <w:r>
        <w:t xml:space="preserve"> </w:t>
      </w:r>
      <w:r>
        <w:t xml:space="preserve">Constitutional Knowledge</w:t>
      </w:r>
    </w:p>
    <w:p>
      <w:pPr>
        <w:pStyle w:val="BodyText"/>
      </w:pPr>
      <w:r>
        <w:t xml:space="preserve">Higher promotion levels require increasingly strict validation.</w:t>
      </w:r>
    </w:p>
    <w:p>
      <w:r>
        <w:pict>
          <v:rect style="width:0;height:1.5pt" o:hralign="center" o:hrstd="t" o:hr="t"/>
        </w:pict>
      </w:r>
    </w:p>
    <w:bookmarkEnd w:id="45"/>
    <w:bookmarkStart w:id="46" w:name="cognitive-flow"/>
    <w:p>
      <w:pPr>
        <w:pStyle w:val="Heading1"/>
      </w:pPr>
      <w:r>
        <w:t xml:space="preserve">Cognitive Flow</w:t>
      </w:r>
    </w:p>
    <w:p>
      <w:pPr>
        <w:pStyle w:val="FirstParagraph"/>
      </w:pPr>
      <w:r>
        <w:t xml:space="preserve">Task</w:t>
      </w:r>
      <w:r>
        <w:t xml:space="preserve"> </w:t>
      </w:r>
      <w:r>
        <w:t xml:space="preserve">↓</w:t>
      </w:r>
      <w:r>
        <w:t xml:space="preserve"> </w:t>
      </w:r>
      <w:r>
        <w:t xml:space="preserve">Call Memory</w:t>
      </w:r>
      <w:r>
        <w:t xml:space="preserve"> </w:t>
      </w:r>
      <w:r>
        <w:t xml:space="preserve">↓</w:t>
      </w:r>
      <w:r>
        <w:t xml:space="preserve"> </w:t>
      </w:r>
      <w:r>
        <w:t xml:space="preserve">Workspace Context</w:t>
      </w:r>
      <w:r>
        <w:t xml:space="preserve"> </w:t>
      </w:r>
      <w:r>
        <w:t xml:space="preserve">↓</w:t>
      </w:r>
      <w:r>
        <w:t xml:space="preserve"> </w:t>
      </w:r>
      <w:r>
        <w:t xml:space="preserve">Institutional Context</w:t>
      </w:r>
      <w:r>
        <w:t xml:space="preserve"> </w:t>
      </w:r>
      <w:r>
        <w:t xml:space="preserve">↓</w:t>
      </w:r>
      <w:r>
        <w:t xml:space="preserve"> </w:t>
      </w:r>
      <w:r>
        <w:t xml:space="preserve">Reasoning</w:t>
      </w:r>
      <w:r>
        <w:t xml:space="preserve"> </w:t>
      </w:r>
      <w:r>
        <w:t xml:space="preserve">↓</w:t>
      </w:r>
      <w:r>
        <w:t xml:space="preserve"> </w:t>
      </w:r>
      <w:r>
        <w:t xml:space="preserve">Outcome</w:t>
      </w:r>
      <w:r>
        <w:t xml:space="preserve"> </w:t>
      </w:r>
      <w:r>
        <w:t xml:space="preserve">↓</w:t>
      </w:r>
      <w:r>
        <w:t xml:space="preserve"> </w:t>
      </w:r>
      <w:r>
        <w:t xml:space="preserve">Learning Analysis</w:t>
      </w:r>
      <w:r>
        <w:t xml:space="preserve"> </w:t>
      </w:r>
      <w:r>
        <w:t xml:space="preserve">↓</w:t>
      </w:r>
      <w:r>
        <w:t xml:space="preserve"> </w:t>
      </w:r>
      <w:r>
        <w:t xml:space="preserve">Knowledge Promotion Decision</w:t>
      </w:r>
    </w:p>
    <w:p>
      <w:r>
        <w:pict>
          <v:rect style="width:0;height:1.5pt" o:hralign="center" o:hrstd="t" o:hr="t"/>
        </w:pict>
      </w:r>
    </w:p>
    <w:bookmarkEnd w:id="46"/>
    <w:bookmarkStart w:id="47" w:name="multi-model-compatibility"/>
    <w:p>
      <w:pPr>
        <w:pStyle w:val="Heading1"/>
      </w:pPr>
      <w:r>
        <w:t xml:space="preserve">Multi-Model Compatibility</w:t>
      </w:r>
    </w:p>
    <w:p>
      <w:pPr>
        <w:pStyle w:val="FirstParagraph"/>
      </w:pPr>
      <w:r>
        <w:t xml:space="preserve">Because memory belongs to Athena rather than any individual model:</w:t>
      </w:r>
    </w:p>
    <w:p>
      <w:pPr>
        <w:pStyle w:val="BodyText"/>
      </w:pPr>
      <w:r>
        <w:t xml:space="preserve">GPT</w:t>
      </w:r>
      <w:r>
        <w:t xml:space="preserve"> </w:t>
      </w:r>
      <w:r>
        <w:t xml:space="preserve">Claude</w:t>
      </w:r>
      <w:r>
        <w:t xml:space="preserve"> </w:t>
      </w:r>
      <w:r>
        <w:t xml:space="preserve">Gemini</w:t>
      </w:r>
      <w:r>
        <w:t xml:space="preserve"> </w:t>
      </w:r>
      <w:r>
        <w:t xml:space="preserve">Athena Foundation Model</w:t>
      </w:r>
      <w:r>
        <w:t xml:space="preserve"> </w:t>
      </w:r>
      <w:r>
        <w:t xml:space="preserve">Local Models</w:t>
      </w:r>
      <w:r>
        <w:t xml:space="preserve"> </w:t>
      </w:r>
      <w:r>
        <w:t xml:space="preserve">Future Models</w:t>
      </w:r>
    </w:p>
    <w:p>
      <w:pPr>
        <w:pStyle w:val="BodyText"/>
      </w:pPr>
      <w:r>
        <w:t xml:space="preserve">can all operate within the same memory architecture.</w:t>
      </w:r>
    </w:p>
    <w:p>
      <w:pPr>
        <w:pStyle w:val="BodyText"/>
      </w:pPr>
      <w:r>
        <w:t xml:space="preserve">Models become reasoning engines.</w:t>
      </w:r>
    </w:p>
    <w:p>
      <w:pPr>
        <w:pStyle w:val="BodyText"/>
      </w:pPr>
      <w:r>
        <w:t xml:space="preserve">Athena remains the persistent intelligence substrate.</w:t>
      </w:r>
    </w:p>
    <w:p>
      <w:r>
        <w:pict>
          <v:rect style="width:0;height:1.5pt" o:hralign="center" o:hrstd="t" o:hr="t"/>
        </w:pict>
      </w:r>
    </w:p>
    <w:bookmarkEnd w:id="47"/>
    <w:bookmarkStart w:id="48" w:name="design-goal"/>
    <w:p>
      <w:pPr>
        <w:pStyle w:val="Heading1"/>
      </w:pPr>
      <w:r>
        <w:t xml:space="preserve">Design Goal</w:t>
      </w:r>
    </w:p>
    <w:p>
      <w:pPr>
        <w:pStyle w:val="FirstParagraph"/>
      </w:pPr>
      <w:r>
        <w:t xml:space="preserve">Athena should be capable of:</w:t>
      </w:r>
    </w:p>
    <w:p>
      <w:pPr>
        <w:pStyle w:val="Compact"/>
        <w:numPr>
          <w:ilvl w:val="0"/>
          <w:numId w:val="1011"/>
        </w:numPr>
      </w:pPr>
      <w:r>
        <w:t xml:space="preserve">Becoming highly specialized when necessary</w:t>
      </w:r>
    </w:p>
    <w:p>
      <w:pPr>
        <w:pStyle w:val="Compact"/>
        <w:numPr>
          <w:ilvl w:val="0"/>
          <w:numId w:val="1011"/>
        </w:numPr>
      </w:pPr>
      <w:r>
        <w:t xml:space="preserve">Remaining broadly intelligent when required</w:t>
      </w:r>
    </w:p>
    <w:p>
      <w:pPr>
        <w:pStyle w:val="Compact"/>
        <w:numPr>
          <w:ilvl w:val="0"/>
          <w:numId w:val="1011"/>
        </w:numPr>
      </w:pPr>
      <w:r>
        <w:t xml:space="preserve">Learning continuously</w:t>
      </w:r>
    </w:p>
    <w:p>
      <w:pPr>
        <w:pStyle w:val="Compact"/>
        <w:numPr>
          <w:ilvl w:val="0"/>
          <w:numId w:val="1011"/>
        </w:numPr>
      </w:pPr>
      <w:r>
        <w:t xml:space="preserve">Avoiding context contamination</w:t>
      </w:r>
    </w:p>
    <w:p>
      <w:pPr>
        <w:pStyle w:val="Compact"/>
        <w:numPr>
          <w:ilvl w:val="0"/>
          <w:numId w:val="1011"/>
        </w:numPr>
      </w:pPr>
      <w:r>
        <w:t xml:space="preserve">Preserving institutional knowledge</w:t>
      </w:r>
    </w:p>
    <w:p>
      <w:pPr>
        <w:pStyle w:val="Compact"/>
        <w:numPr>
          <w:ilvl w:val="0"/>
          <w:numId w:val="1011"/>
        </w:numPr>
      </w:pPr>
      <w:r>
        <w:t xml:space="preserve">Supporting one or many concurrent AI systems</w:t>
      </w:r>
    </w:p>
    <w:p>
      <w:pPr>
        <w:pStyle w:val="FirstParagraph"/>
      </w:pPr>
      <w:r>
        <w:t xml:space="preserve">The objective is not memory storage.</w:t>
      </w:r>
    </w:p>
    <w:p>
      <w:pPr>
        <w:pStyle w:val="BodyText"/>
      </w:pPr>
      <w:r>
        <w:t xml:space="preserve">The objective is controlled cognitive evolution.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2026-06-06T06:46:12Z</dcterms:created>
  <dcterms:modified xsi:type="dcterms:W3CDTF">2026-06-06T06:46:12Z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