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NVIR Semantic Lowering and Versioned Dataflow Specification</w:t>
      </w:r>
    </w:p>
    <w:p>
      <w:pPr>
        <w:jc w:val="center"/>
      </w:pPr>
      <w:r>
        <w:rPr>
          <w:i/>
          <w:sz w:val="22"/>
        </w:rPr>
        <w:t>v0.1 - For NVASM, NVVM/NVRT, and Nexus-V RTL Test Generation</w:t>
      </w:r>
    </w:p>
    <w:p>
      <w:r>
        <w:t>Status: standalone implementation document derived from the NVASM v0.3 semantic parser model and aligned with the NVISC hardware plan. This document defines how typed mutation graphs are lowered into .nvir files while preserving safe dataflow across branchable machine futures.</w:t>
      </w:r>
    </w:p>
    <w:p>
      <w:pPr>
        <w:pStyle w:val="Heading1"/>
      </w:pPr>
      <w:r>
        <w:t>0. Purpose</w:t>
      </w:r>
    </w:p>
    <w:p>
      <w:r>
        <w:t>This document defines Semantic Lowering for NVASM: the stage that converts the typed mutation graph produced by the semantic parser into NVIR, the NVISC Intermediate Representation. NVIR must preserve branch identity, state version lineage, rollback targets, audit gates, topology context, numeric integrity, quantum-step boundaries, and safe data movement across possible futures.</w:t>
      </w:r>
    </w:p>
    <w:p>
      <w:pPr>
        <w:pStyle w:val="Heading1"/>
      </w:pPr>
      <w:r>
        <w:t>1. Toolchain Position</w:t>
      </w:r>
    </w:p>
    <w:p>
      <w:r>
        <w:t>Semantic Lowering sits after parsing, macro expansion, symbol resolution, and mutation-graph construction. It emits canonical NVIR that can be consumed by NVVM, NVRT, validators, trace viewers, linkers, and future Nexus-V RTL test-vector generators.</w:t>
      </w:r>
    </w:p>
    <w:p>
      <w:pPr>
        <w:pStyle w:val="CodeBlock"/>
      </w:pPr>
      <w:r>
        <w:rPr>
          <w:rFonts w:ascii="Consolas" w:hAnsi="Consolas" w:eastAsia="Consolas"/>
          <w:sz w:val="16"/>
        </w:rPr>
        <w:t>NVASM source</w:t>
        <w:br/>
        <w:t xml:space="preserve">  -&gt; lexer</w:t>
        <w:br/>
        <w:t xml:space="preserve">  -&gt; parser / AST</w:t>
        <w:br/>
        <w:t xml:space="preserve">  -&gt; macro-expanded AST</w:t>
        <w:br/>
        <w:t xml:space="preserve">  -&gt; symbol-resolved typed AST</w:t>
        <w:br/>
        <w:t xml:space="preserve">  -&gt; semantic mutation graph</w:t>
        <w:br/>
        <w:t xml:space="preserve">  -&gt; semantic lowering</w:t>
        <w:br/>
        <w:t xml:space="preserve">  -&gt; NVIR VSSA graph</w:t>
        <w:br/>
        <w:t xml:space="preserve">  -&gt; NVOBJ / NVVM / NVRT / RTL test vectors</w:t>
      </w:r>
    </w:p>
    <w:p>
      <w:pPr>
        <w:pStyle w:val="Heading1"/>
      </w:pPr>
      <w:r>
        <w:t>2. Semantic Lowering Pass</w:t>
      </w:r>
    </w:p>
    <w:p>
      <w:r>
        <w:t>The semantic lowering pass is responsible for converting every parsed instruction into a typed, effect-aware, versioned NVIR node. It must not flatten branch behavior into linear instruction order. It must preserve the abstract state mutations that make NVISC distinct from conventional ISAs.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D9EAF7"/>
          </w:tcPr>
          <w:p>
            <w:r/>
            <w:r>
              <w:rPr>
                <w:b/>
                <w:sz w:val="17"/>
              </w:rPr>
              <w:t>Input</w:t>
            </w:r>
          </w:p>
        </w:tc>
        <w:tc>
          <w:tcPr>
            <w:tcW w:type="dxa" w:w="2448"/>
            <w:vAlign w:val="top"/>
            <w:shd w:fill="D9EAF7"/>
          </w:tcPr>
          <w:p>
            <w:r/>
            <w:r>
              <w:rPr>
                <w:b/>
                <w:sz w:val="17"/>
              </w:rPr>
              <w:t>Output</w:t>
            </w:r>
          </w:p>
        </w:tc>
        <w:tc>
          <w:tcPr>
            <w:tcW w:type="dxa" w:w="6192"/>
            <w:vAlign w:val="top"/>
            <w:shd w:fill="D9EAF7"/>
          </w:tcPr>
          <w:p>
            <w:r/>
            <w:r>
              <w:rPr>
                <w:b/>
                <w:sz w:val="17"/>
              </w:rPr>
              <w:t>Requirement</w:t>
            </w:r>
          </w:p>
        </w:tc>
      </w:tr>
      <w:tr>
        <w:tc>
          <w:tcPr>
            <w:tcW w:type="dxa" w:w="2304"/>
            <w:vAlign w:val="top"/>
          </w:tcPr>
          <w:p>
            <w:r/>
            <w:r>
              <w:rPr>
                <w:b w:val="0"/>
                <w:sz w:val="17"/>
              </w:rPr>
              <w:t>Typed mutation graph</w:t>
            </w:r>
          </w:p>
        </w:tc>
        <w:tc>
          <w:tcPr>
            <w:tcW w:type="dxa" w:w="2448"/>
            <w:vAlign w:val="top"/>
          </w:tcPr>
          <w:p>
            <w:r/>
            <w:r>
              <w:rPr>
                <w:b w:val="0"/>
                <w:sz w:val="17"/>
              </w:rPr>
              <w:t>NVIR instruction nodes</w:t>
            </w:r>
          </w:p>
        </w:tc>
        <w:tc>
          <w:tcPr>
            <w:tcW w:type="dxa" w:w="6192"/>
            <w:vAlign w:val="top"/>
          </w:tcPr>
          <w:p>
            <w:r/>
            <w:r>
              <w:rPr>
                <w:b w:val="0"/>
                <w:sz w:val="17"/>
              </w:rPr>
              <w:t>Each instruction receives canonical op, operands, effects, domains, and state tokens.</w:t>
            </w:r>
          </w:p>
        </w:tc>
      </w:tr>
      <w:tr>
        <w:tc>
          <w:tcPr>
            <w:tcW w:type="dxa" w:w="2304"/>
            <w:vAlign w:val="top"/>
          </w:tcPr>
          <w:p>
            <w:r/>
            <w:r>
              <w:rPr>
                <w:b w:val="0"/>
                <w:sz w:val="17"/>
              </w:rPr>
              <w:t>Branch/state metadata</w:t>
            </w:r>
          </w:p>
        </w:tc>
        <w:tc>
          <w:tcPr>
            <w:tcW w:type="dxa" w:w="2448"/>
            <w:vAlign w:val="top"/>
          </w:tcPr>
          <w:p>
            <w:r/>
            <w:r>
              <w:rPr>
                <w:b w:val="0"/>
                <w:sz w:val="17"/>
              </w:rPr>
              <w:t>State graph section</w:t>
            </w:r>
          </w:p>
        </w:tc>
        <w:tc>
          <w:tcPr>
            <w:tcW w:type="dxa" w:w="6192"/>
            <w:vAlign w:val="top"/>
          </w:tcPr>
          <w:p>
            <w:r/>
            <w:r>
              <w:rPr>
                <w:b w:val="0"/>
                <w:sz w:val="17"/>
              </w:rPr>
              <w:t>Branches, commits, snapshots, rollback points, and merge nodes must be explicit.</w:t>
            </w:r>
          </w:p>
        </w:tc>
      </w:tr>
      <w:tr>
        <w:tc>
          <w:tcPr>
            <w:tcW w:type="dxa" w:w="2304"/>
            <w:vAlign w:val="top"/>
          </w:tcPr>
          <w:p>
            <w:r/>
            <w:r>
              <w:rPr>
                <w:b w:val="0"/>
                <w:sz w:val="17"/>
              </w:rPr>
              <w:t>Audit/policy facts</w:t>
            </w:r>
          </w:p>
        </w:tc>
        <w:tc>
          <w:tcPr>
            <w:tcW w:type="dxa" w:w="2448"/>
            <w:vAlign w:val="top"/>
          </w:tcPr>
          <w:p>
            <w:r/>
            <w:r>
              <w:rPr>
                <w:b w:val="0"/>
                <w:sz w:val="17"/>
              </w:rPr>
              <w:t>Audit token graph</w:t>
            </w:r>
          </w:p>
        </w:tc>
        <w:tc>
          <w:tcPr>
            <w:tcW w:type="dxa" w:w="6192"/>
            <w:vAlign w:val="top"/>
          </w:tcPr>
          <w:p>
            <w:r/>
            <w:r>
              <w:rPr>
                <w:b w:val="0"/>
                <w:sz w:val="17"/>
              </w:rPr>
              <w:t>Aegis predicates must become capability-bearing audit tokens, not plain booleans.</w:t>
            </w:r>
          </w:p>
        </w:tc>
      </w:tr>
      <w:tr>
        <w:tc>
          <w:tcPr>
            <w:tcW w:type="dxa" w:w="2304"/>
            <w:vAlign w:val="top"/>
          </w:tcPr>
          <w:p>
            <w:r/>
            <w:r>
              <w:rPr>
                <w:b w:val="0"/>
                <w:sz w:val="17"/>
              </w:rPr>
              <w:t>Data dependencies</w:t>
            </w:r>
          </w:p>
        </w:tc>
        <w:tc>
          <w:tcPr>
            <w:tcW w:type="dxa" w:w="2448"/>
            <w:vAlign w:val="top"/>
          </w:tcPr>
          <w:p>
            <w:r/>
            <w:r>
              <w:rPr>
                <w:b w:val="0"/>
                <w:sz w:val="17"/>
              </w:rPr>
              <w:t>Dependency edge graph</w:t>
            </w:r>
          </w:p>
        </w:tc>
        <w:tc>
          <w:tcPr>
            <w:tcW w:type="dxa" w:w="6192"/>
            <w:vAlign w:val="top"/>
          </w:tcPr>
          <w:p>
            <w:r/>
            <w:r>
              <w:rPr>
                <w:b w:val="0"/>
                <w:sz w:val="17"/>
              </w:rPr>
              <w:t>Reads/writes, state, audit, topology, quantum, and rollback dependencies must be preserved.</w:t>
            </w:r>
          </w:p>
        </w:tc>
      </w:tr>
      <w:tr>
        <w:tc>
          <w:tcPr>
            <w:tcW w:type="dxa" w:w="2304"/>
            <w:vAlign w:val="top"/>
          </w:tcPr>
          <w:p>
            <w:r/>
            <w:r>
              <w:rPr>
                <w:b w:val="0"/>
                <w:sz w:val="17"/>
              </w:rPr>
              <w:t>Validation diagnostics</w:t>
            </w:r>
          </w:p>
        </w:tc>
        <w:tc>
          <w:tcPr>
            <w:tcW w:type="dxa" w:w="2448"/>
            <w:vAlign w:val="top"/>
          </w:tcPr>
          <w:p>
            <w:r/>
            <w:r>
              <w:rPr>
                <w:b w:val="0"/>
                <w:sz w:val="17"/>
              </w:rPr>
              <w:t>NVIR diagnostics array</w:t>
            </w:r>
          </w:p>
        </w:tc>
        <w:tc>
          <w:tcPr>
            <w:tcW w:type="dxa" w:w="6192"/>
            <w:vAlign w:val="top"/>
          </w:tcPr>
          <w:p>
            <w:r/>
            <w:r>
              <w:rPr>
                <w:b w:val="0"/>
                <w:sz w:val="17"/>
              </w:rPr>
              <w:t>Lowering failures must use stable semantic-lowering error codes.</w:t>
            </w:r>
          </w:p>
        </w:tc>
      </w:tr>
    </w:tbl>
    <w:p/>
    <w:p>
      <w:pPr>
        <w:pStyle w:val="CodeBlock"/>
      </w:pPr>
      <w:r>
        <w:rPr>
          <w:rFonts w:ascii="Consolas" w:hAnsi="Consolas" w:eastAsia="Consolas"/>
          <w:sz w:val="16"/>
        </w:rPr>
        <w:t>lowering_pass(module):</w:t>
        <w:br/>
        <w:t xml:space="preserve">    ast = parse_and_expand(module.source)</w:t>
        <w:br/>
        <w:t xml:space="preserve">    symbols = resolve_symbols(ast)</w:t>
        <w:br/>
        <w:t xml:space="preserve">    mutation_graph = build_mutation_graph(ast, symbols)</w:t>
        <w:br/>
        <w:t xml:space="preserve">    validate_static_semantics(mutation_graph)</w:t>
        <w:br/>
        <w:t xml:space="preserve">    vssa = assign_versioned_values(mutation_graph)</w:t>
        <w:br/>
        <w:t xml:space="preserve">    tokens = assign_state_branch_audit_tokens(vssa)</w:t>
        <w:br/>
        <w:t xml:space="preserve">    edges = build_dependency_edges(tokens)</w:t>
        <w:br/>
        <w:t xml:space="preserve">    diagnostics = run_lowering_diagnostics(vssa, edges)</w:t>
        <w:br/>
        <w:t xml:space="preserve">    return emit_nvir(module, vssa, edges, diagnostics)</w:t>
      </w:r>
    </w:p>
    <w:p>
      <w:pPr>
        <w:pStyle w:val="Heading1"/>
      </w:pPr>
      <w:r>
        <w:t>3. VSSA Value Model</w:t>
      </w:r>
    </w:p>
    <w:p>
      <w:r>
        <w:t>NVIR uses VSSA: Versioned Static Single Assignment. In normal SSA, each value is assigned once. In NVISC, each value must also be anchored to a branch and a state version.</w:t>
      </w:r>
    </w:p>
    <w:p>
      <w:pPr>
        <w:pStyle w:val="CodeBlock"/>
      </w:pPr>
      <w:r>
        <w:rPr>
          <w:rFonts w:ascii="Consolas" w:hAnsi="Consolas" w:eastAsia="Consolas"/>
          <w:sz w:val="16"/>
        </w:rPr>
        <w:t>VSSA name form:</w:t>
        <w:br/>
        <w:t>%&lt;kind&gt;.&lt;name&gt;#&lt;version&gt;@&lt;branch&gt;</w:t>
        <w:br/>
        <w:br/>
        <w:t>Examples:</w:t>
        <w:br/>
        <w:t>%reg.r1#0@main</w:t>
        <w:br/>
        <w:t>%reg.r2#1@branch.a</w:t>
        <w:br/>
        <w:t>%tensor.t2#4@branch.ai</w:t>
        <w:br/>
        <w:t>%pred.p0#audit@main</w:t>
        <w:br/>
        <w:t>%state#merged@main</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7"/>
              </w:rPr>
              <w:t>Field</w:t>
            </w:r>
          </w:p>
        </w:tc>
        <w:tc>
          <w:tcPr>
            <w:tcW w:type="dxa" w:w="8352"/>
            <w:vAlign w:val="top"/>
            <w:shd w:fill="D9EAF7"/>
          </w:tcPr>
          <w:p>
            <w:r/>
            <w:r>
              <w:rPr>
                <w:b/>
                <w:sz w:val="17"/>
              </w:rPr>
              <w:t>Meaning</w:t>
            </w:r>
          </w:p>
        </w:tc>
      </w:tr>
      <w:tr>
        <w:tc>
          <w:tcPr>
            <w:tcW w:type="dxa" w:w="2304"/>
            <w:vAlign w:val="top"/>
          </w:tcPr>
          <w:p>
            <w:r/>
            <w:r>
              <w:rPr>
                <w:b w:val="0"/>
                <w:sz w:val="17"/>
              </w:rPr>
              <w:t>kind</w:t>
            </w:r>
          </w:p>
        </w:tc>
        <w:tc>
          <w:tcPr>
            <w:tcW w:type="dxa" w:w="8352"/>
            <w:vAlign w:val="top"/>
          </w:tcPr>
          <w:p>
            <w:r/>
            <w:r>
              <w:rPr>
                <w:b w:val="0"/>
                <w:sz w:val="17"/>
              </w:rPr>
              <w:t>Value class: reg, fp, dec, mvl, tensor, pred, state, memory, audit, topology, quantum, proof.</w:t>
            </w:r>
          </w:p>
        </w:tc>
      </w:tr>
      <w:tr>
        <w:tc>
          <w:tcPr>
            <w:tcW w:type="dxa" w:w="2304"/>
            <w:vAlign w:val="top"/>
          </w:tcPr>
          <w:p>
            <w:r/>
            <w:r>
              <w:rPr>
                <w:b w:val="0"/>
                <w:sz w:val="17"/>
              </w:rPr>
              <w:t>name</w:t>
            </w:r>
          </w:p>
        </w:tc>
        <w:tc>
          <w:tcPr>
            <w:tcW w:type="dxa" w:w="8352"/>
            <w:vAlign w:val="top"/>
          </w:tcPr>
          <w:p>
            <w:r/>
            <w:r>
              <w:rPr>
                <w:b w:val="0"/>
                <w:sz w:val="17"/>
              </w:rPr>
              <w:t>Source-level register, symbolic value, or generated temporary.</w:t>
            </w:r>
          </w:p>
        </w:tc>
      </w:tr>
      <w:tr>
        <w:tc>
          <w:tcPr>
            <w:tcW w:type="dxa" w:w="2304"/>
            <w:vAlign w:val="top"/>
          </w:tcPr>
          <w:p>
            <w:r/>
            <w:r>
              <w:rPr>
                <w:b w:val="0"/>
                <w:sz w:val="17"/>
              </w:rPr>
              <w:t>version</w:t>
            </w:r>
          </w:p>
        </w:tc>
        <w:tc>
          <w:tcPr>
            <w:tcW w:type="dxa" w:w="8352"/>
            <w:vAlign w:val="top"/>
          </w:tcPr>
          <w:p>
            <w:r/>
            <w:r>
              <w:rPr>
                <w:b w:val="0"/>
                <w:sz w:val="17"/>
              </w:rPr>
              <w:t>Monotonic local version or semantic version marker.</w:t>
            </w:r>
          </w:p>
        </w:tc>
      </w:tr>
      <w:tr>
        <w:tc>
          <w:tcPr>
            <w:tcW w:type="dxa" w:w="2304"/>
            <w:vAlign w:val="top"/>
          </w:tcPr>
          <w:p>
            <w:r/>
            <w:r>
              <w:rPr>
                <w:b w:val="0"/>
                <w:sz w:val="17"/>
              </w:rPr>
              <w:t>branch</w:t>
            </w:r>
          </w:p>
        </w:tc>
        <w:tc>
          <w:tcPr>
            <w:tcW w:type="dxa" w:w="8352"/>
            <w:vAlign w:val="top"/>
          </w:tcPr>
          <w:p>
            <w:r/>
            <w:r>
              <w:rPr>
                <w:b w:val="0"/>
                <w:sz w:val="17"/>
              </w:rPr>
              <w:t>Branch context where the value is valid.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r/>
            <w:r>
              <w:rPr>
                <w:b/>
                <w:sz w:val="17"/>
              </w:rPr>
              <w:t>VSSA classification</w:t>
            </w:r>
          </w:p>
        </w:tc>
        <w:tc>
          <w:tcPr>
            <w:tcW w:type="dxa" w:w="5760"/>
            <w:vAlign w:val="top"/>
            <w:shd w:fill="D9EAF7"/>
          </w:tcPr>
          <w:p>
            <w:r/>
            <w:r>
              <w:rPr>
                <w:b/>
                <w:sz w:val="17"/>
              </w:rPr>
              <w:t>Meaning</w:t>
            </w:r>
          </w:p>
        </w:tc>
        <w:tc>
          <w:tcPr>
            <w:tcW w:type="dxa" w:w="2880"/>
            <w:vAlign w:val="top"/>
            <w:shd w:fill="D9EAF7"/>
          </w:tcPr>
          <w:p>
            <w:r/>
            <w:r>
              <w:rPr>
                <w:b/>
                <w:sz w:val="17"/>
              </w:rPr>
              <w:t>Example</w:t>
            </w:r>
          </w:p>
        </w:tc>
      </w:tr>
      <w:tr>
        <w:tc>
          <w:tcPr>
            <w:tcW w:type="dxa" w:w="2448"/>
            <w:vAlign w:val="top"/>
          </w:tcPr>
          <w:p>
            <w:r/>
            <w:r>
              <w:rPr>
                <w:b w:val="0"/>
                <w:sz w:val="17"/>
              </w:rPr>
              <w:t>LOCAL</w:t>
            </w:r>
          </w:p>
        </w:tc>
        <w:tc>
          <w:tcPr>
            <w:tcW w:type="dxa" w:w="5760"/>
            <w:vAlign w:val="top"/>
          </w:tcPr>
          <w:p>
            <w:r/>
            <w:r>
              <w:rPr>
                <w:b w:val="0"/>
                <w:sz w:val="17"/>
              </w:rPr>
              <w:t>Valid inside the current basic/lowering region only.</w:t>
            </w:r>
          </w:p>
        </w:tc>
        <w:tc>
          <w:tcPr>
            <w:tcW w:type="dxa" w:w="2880"/>
            <w:vAlign w:val="top"/>
          </w:tcPr>
          <w:p>
            <w:r/>
            <w:r>
              <w:rPr>
                <w:b w:val="0"/>
                <w:sz w:val="17"/>
              </w:rPr>
              <w:t>%tmp#2@main</w:t>
            </w:r>
          </w:p>
        </w:tc>
      </w:tr>
      <w:tr>
        <w:tc>
          <w:tcPr>
            <w:tcW w:type="dxa" w:w="2448"/>
            <w:vAlign w:val="top"/>
          </w:tcPr>
          <w:p>
            <w:r/>
            <w:r>
              <w:rPr>
                <w:b w:val="0"/>
                <w:sz w:val="17"/>
              </w:rPr>
              <w:t>PARENT_INHERITED</w:t>
            </w:r>
          </w:p>
        </w:tc>
        <w:tc>
          <w:tcPr>
            <w:tcW w:type="dxa" w:w="5760"/>
            <w:vAlign w:val="top"/>
          </w:tcPr>
          <w:p>
            <w:r/>
            <w:r>
              <w:rPr>
                <w:b w:val="0"/>
                <w:sz w:val="17"/>
              </w:rPr>
              <w:t>Read from a parent branch/state.</w:t>
            </w:r>
          </w:p>
        </w:tc>
        <w:tc>
          <w:tcPr>
            <w:tcW w:type="dxa" w:w="2880"/>
            <w:vAlign w:val="top"/>
          </w:tcPr>
          <w:p>
            <w:r/>
            <w:r>
              <w:rPr>
                <w:b w:val="0"/>
                <w:sz w:val="17"/>
              </w:rPr>
              <w:t>%reg.r1#0@main read by @branch.a</w:t>
            </w:r>
          </w:p>
        </w:tc>
      </w:tr>
      <w:tr>
        <w:tc>
          <w:tcPr>
            <w:tcW w:type="dxa" w:w="2448"/>
            <w:vAlign w:val="top"/>
          </w:tcPr>
          <w:p>
            <w:r/>
            <w:r>
              <w:rPr>
                <w:b w:val="0"/>
                <w:sz w:val="17"/>
              </w:rPr>
              <w:t>BRANCH_PRIVATE</w:t>
            </w:r>
          </w:p>
        </w:tc>
        <w:tc>
          <w:tcPr>
            <w:tcW w:type="dxa" w:w="5760"/>
            <w:vAlign w:val="top"/>
          </w:tcPr>
          <w:p>
            <w:r/>
            <w:r>
              <w:rPr>
                <w:b w:val="0"/>
                <w:sz w:val="17"/>
              </w:rPr>
              <w:t>Created inside a speculative branch.</w:t>
            </w:r>
          </w:p>
        </w:tc>
        <w:tc>
          <w:tcPr>
            <w:tcW w:type="dxa" w:w="2880"/>
            <w:vAlign w:val="top"/>
          </w:tcPr>
          <w:p>
            <w:r/>
            <w:r>
              <w:rPr>
                <w:b w:val="0"/>
                <w:sz w:val="17"/>
              </w:rPr>
              <w:t>%reg.r2#0@branch.a</w:t>
            </w:r>
          </w:p>
        </w:tc>
      </w:tr>
      <w:tr>
        <w:tc>
          <w:tcPr>
            <w:tcW w:type="dxa" w:w="2448"/>
            <w:vAlign w:val="top"/>
          </w:tcPr>
          <w:p>
            <w:r/>
            <w:r>
              <w:rPr>
                <w:b w:val="0"/>
                <w:sz w:val="17"/>
              </w:rPr>
              <w:t>SEALED</w:t>
            </w:r>
          </w:p>
        </w:tc>
        <w:tc>
          <w:tcPr>
            <w:tcW w:type="dxa" w:w="5760"/>
            <w:vAlign w:val="top"/>
          </w:tcPr>
          <w:p>
            <w:r/>
            <w:r>
              <w:rPr>
                <w:b w:val="0"/>
                <w:sz w:val="17"/>
              </w:rPr>
              <w:t>Immutable and safe to share across branches.</w:t>
            </w:r>
          </w:p>
        </w:tc>
        <w:tc>
          <w:tcPr>
            <w:tcW w:type="dxa" w:w="2880"/>
            <w:vAlign w:val="top"/>
          </w:tcPr>
          <w:p>
            <w:r/>
            <w:r>
              <w:rPr>
                <w:b w:val="0"/>
                <w:sz w:val="17"/>
              </w:rPr>
              <w:t>%state.clean#sealed@main</w:t>
            </w:r>
          </w:p>
        </w:tc>
      </w:tr>
      <w:tr>
        <w:tc>
          <w:tcPr>
            <w:tcW w:type="dxa" w:w="2448"/>
            <w:vAlign w:val="top"/>
          </w:tcPr>
          <w:p>
            <w:r/>
            <w:r>
              <w:rPr>
                <w:b w:val="0"/>
                <w:sz w:val="17"/>
              </w:rPr>
              <w:t>AUDITED</w:t>
            </w:r>
          </w:p>
        </w:tc>
        <w:tc>
          <w:tcPr>
            <w:tcW w:type="dxa" w:w="5760"/>
            <w:vAlign w:val="top"/>
          </w:tcPr>
          <w:p>
            <w:r/>
            <w:r>
              <w:rPr>
                <w:b w:val="0"/>
                <w:sz w:val="17"/>
              </w:rPr>
              <w:t>Approved by Aegis for a defined subject and use.</w:t>
            </w:r>
          </w:p>
        </w:tc>
        <w:tc>
          <w:tcPr>
            <w:tcW w:type="dxa" w:w="2880"/>
            <w:vAlign w:val="top"/>
          </w:tcPr>
          <w:p>
            <w:r/>
            <w:r>
              <w:rPr>
                <w:b w:val="0"/>
                <w:sz w:val="17"/>
              </w:rPr>
              <w:t>%audit_token#10@main</w:t>
            </w:r>
          </w:p>
        </w:tc>
      </w:tr>
      <w:tr>
        <w:tc>
          <w:tcPr>
            <w:tcW w:type="dxa" w:w="2448"/>
            <w:vAlign w:val="top"/>
          </w:tcPr>
          <w:p>
            <w:r/>
            <w:r>
              <w:rPr>
                <w:b w:val="0"/>
                <w:sz w:val="17"/>
              </w:rPr>
              <w:t>COMMITTED</w:t>
            </w:r>
          </w:p>
        </w:tc>
        <w:tc>
          <w:tcPr>
            <w:tcW w:type="dxa" w:w="5760"/>
            <w:vAlign w:val="top"/>
          </w:tcPr>
          <w:p>
            <w:r/>
            <w:r>
              <w:rPr>
                <w:b w:val="0"/>
                <w:sz w:val="17"/>
              </w:rPr>
              <w:t>Part of trusted architectural state.</w:t>
            </w:r>
          </w:p>
        </w:tc>
        <w:tc>
          <w:tcPr>
            <w:tcW w:type="dxa" w:w="2880"/>
            <w:vAlign w:val="top"/>
          </w:tcPr>
          <w:p>
            <w:r/>
            <w:r>
              <w:rPr>
                <w:b w:val="0"/>
                <w:sz w:val="17"/>
              </w:rPr>
              <w:t>%state#committed@main</w:t>
            </w:r>
          </w:p>
        </w:tc>
      </w:tr>
      <w:tr>
        <w:tc>
          <w:tcPr>
            <w:tcW w:type="dxa" w:w="2448"/>
            <w:vAlign w:val="top"/>
          </w:tcPr>
          <w:p>
            <w:r/>
            <w:r>
              <w:rPr>
                <w:b w:val="0"/>
                <w:sz w:val="17"/>
              </w:rPr>
              <w:t>ROLLBACK_ONLY</w:t>
            </w:r>
          </w:p>
        </w:tc>
        <w:tc>
          <w:tcPr>
            <w:tcW w:type="dxa" w:w="5760"/>
            <w:vAlign w:val="top"/>
          </w:tcPr>
          <w:p>
            <w:r/>
            <w:r>
              <w:rPr>
                <w:b w:val="0"/>
                <w:sz w:val="17"/>
              </w:rPr>
              <w:t>Valid only as a rollback target.</w:t>
            </w:r>
          </w:p>
        </w:tc>
        <w:tc>
          <w:tcPr>
            <w:tcW w:type="dxa" w:w="2880"/>
            <w:vAlign w:val="top"/>
          </w:tcPr>
          <w:p>
            <w:r/>
            <w:r>
              <w:rPr>
                <w:b w:val="0"/>
                <w:sz w:val="17"/>
              </w:rPr>
              <w:t>%state.safe#rollback@main</w:t>
            </w:r>
          </w:p>
        </w:tc>
      </w:tr>
      <w:tr>
        <w:tc>
          <w:tcPr>
            <w:tcW w:type="dxa" w:w="2448"/>
            <w:vAlign w:val="top"/>
          </w:tcPr>
          <w:p>
            <w:r/>
            <w:r>
              <w:rPr>
                <w:b w:val="0"/>
                <w:sz w:val="17"/>
              </w:rPr>
              <w:t>EXPIRED</w:t>
            </w:r>
          </w:p>
        </w:tc>
        <w:tc>
          <w:tcPr>
            <w:tcW w:type="dxa" w:w="5760"/>
            <w:vAlign w:val="top"/>
          </w:tcPr>
          <w:p>
            <w:r/>
            <w:r>
              <w:rPr>
                <w:b w:val="0"/>
                <w:sz w:val="17"/>
              </w:rPr>
              <w:t>No longer valid after mutation, rollback, topology change, or quantum collapse.</w:t>
            </w:r>
          </w:p>
        </w:tc>
        <w:tc>
          <w:tcPr>
            <w:tcW w:type="dxa" w:w="2880"/>
            <w:vAlign w:val="top"/>
          </w:tcPr>
          <w:p>
            <w:r/>
            <w:r>
              <w:rPr>
                <w:b w:val="0"/>
                <w:sz w:val="17"/>
              </w:rPr>
              <w:t>%audit_token#10 expired</w:t>
            </w:r>
          </w:p>
        </w:tc>
      </w:tr>
      <w:tr>
        <w:tc>
          <w:tcPr>
            <w:tcW w:type="dxa" w:w="2448"/>
            <w:vAlign w:val="top"/>
          </w:tcPr>
          <w:p>
            <w:r/>
            <w:r>
              <w:rPr>
                <w:b w:val="0"/>
                <w:sz w:val="17"/>
              </w:rPr>
              <w:t>INVALID</w:t>
            </w:r>
          </w:p>
        </w:tc>
        <w:tc>
          <w:tcPr>
            <w:tcW w:type="dxa" w:w="5760"/>
            <w:vAlign w:val="top"/>
          </w:tcPr>
          <w:p>
            <w:r/>
            <w:r>
              <w:rPr>
                <w:b w:val="0"/>
                <w:sz w:val="17"/>
              </w:rPr>
              <w:t>Rejected by semantic validation.</w:t>
            </w:r>
          </w:p>
        </w:tc>
        <w:tc>
          <w:tcPr>
            <w:tcW w:type="dxa" w:w="2880"/>
            <w:vAlign w:val="top"/>
          </w:tcPr>
          <w:p>
            <w:r/>
            <w:r>
              <w:rPr>
                <w:b w:val="0"/>
                <w:sz w:val="17"/>
              </w:rPr>
              <w:t>sibling branch value used without merge</w:t>
            </w:r>
          </w:p>
        </w:tc>
      </w:tr>
    </w:tbl>
    <w:p/>
    <w:p>
      <w:pPr>
        <w:pStyle w:val="Heading1"/>
      </w:pPr>
      <w:r>
        <w:t>4. State Token Model</w:t>
      </w:r>
    </w:p>
    <w:p>
      <w:r>
        <w:t>Every instruction that can mutate architectural state consumes a state token and produces a new state token. This prevents unsafe reordering and allows NVIR to describe exact state evolution.</w:t>
      </w:r>
    </w:p>
    <w:p>
      <w:pPr>
        <w:pStyle w:val="CodeBlock"/>
      </w:pPr>
      <w:r>
        <w:rPr>
          <w:rFonts w:ascii="Consolas" w:hAnsi="Consolas" w:eastAsia="Consolas"/>
          <w:sz w:val="16"/>
        </w:rPr>
        <w:t>State token form:</w:t>
        <w:br/>
        <w:t>%state#&lt;version&gt;@&lt;branch&gt;</w:t>
        <w:br/>
        <w:br/>
        <w:t>Example:</w:t>
        <w:br/>
        <w:t>B.ADD r2, r1, 10</w:t>
        <w:br/>
        <w:br/>
        <w:t>Lowered state flow:</w:t>
        <w:br/>
        <w:t>state_in  = %state#0@main</w:t>
        <w:br/>
        <w:t>state_out = %state#1@main</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r/>
            <w:r>
              <w:rPr>
                <w:b/>
                <w:sz w:val="17"/>
              </w:rPr>
              <w:t>Instruction class</w:t>
            </w:r>
          </w:p>
        </w:tc>
        <w:tc>
          <w:tcPr>
            <w:tcW w:type="dxa" w:w="7488"/>
            <w:vAlign w:val="top"/>
            <w:shd w:fill="D9EAF7"/>
          </w:tcPr>
          <w:p>
            <w:r/>
            <w:r>
              <w:rPr>
                <w:b/>
                <w:sz w:val="17"/>
              </w:rPr>
              <w:t>State token behavior</w:t>
            </w:r>
          </w:p>
        </w:tc>
      </w:tr>
      <w:tr>
        <w:tc>
          <w:tcPr>
            <w:tcW w:type="dxa" w:w="3168"/>
            <w:vAlign w:val="top"/>
          </w:tcPr>
          <w:p>
            <w:r/>
            <w:r>
              <w:rPr>
                <w:b w:val="0"/>
                <w:sz w:val="17"/>
              </w:rPr>
              <w:t>Pure read</w:t>
            </w:r>
          </w:p>
        </w:tc>
        <w:tc>
          <w:tcPr>
            <w:tcW w:type="dxa" w:w="7488"/>
            <w:vAlign w:val="top"/>
          </w:tcPr>
          <w:p>
            <w:r/>
            <w:r>
              <w:rPr>
                <w:b w:val="0"/>
                <w:sz w:val="17"/>
              </w:rPr>
              <w:t>Consumes state_in and re-emits the same state_out unless it also creates metadata.</w:t>
            </w:r>
          </w:p>
        </w:tc>
      </w:tr>
      <w:tr>
        <w:tc>
          <w:tcPr>
            <w:tcW w:type="dxa" w:w="3168"/>
            <w:vAlign w:val="top"/>
          </w:tcPr>
          <w:p>
            <w:r/>
            <w:r>
              <w:rPr>
                <w:b w:val="0"/>
                <w:sz w:val="17"/>
              </w:rPr>
              <w:t>Register write</w:t>
            </w:r>
          </w:p>
        </w:tc>
        <w:tc>
          <w:tcPr>
            <w:tcW w:type="dxa" w:w="7488"/>
            <w:vAlign w:val="top"/>
          </w:tcPr>
          <w:p>
            <w:r/>
            <w:r>
              <w:rPr>
                <w:b w:val="0"/>
                <w:sz w:val="17"/>
              </w:rPr>
              <w:t>Produces a new state_out because architectural register state changed.</w:t>
            </w:r>
          </w:p>
        </w:tc>
      </w:tr>
      <w:tr>
        <w:tc>
          <w:tcPr>
            <w:tcW w:type="dxa" w:w="3168"/>
            <w:vAlign w:val="top"/>
          </w:tcPr>
          <w:p>
            <w:r/>
            <w:r>
              <w:rPr>
                <w:b w:val="0"/>
                <w:sz w:val="17"/>
              </w:rPr>
              <w:t>Memory write</w:t>
            </w:r>
          </w:p>
        </w:tc>
        <w:tc>
          <w:tcPr>
            <w:tcW w:type="dxa" w:w="7488"/>
            <w:vAlign w:val="top"/>
          </w:tcPr>
          <w:p>
            <w:r/>
            <w:r>
              <w:rPr>
                <w:b w:val="0"/>
                <w:sz w:val="17"/>
              </w:rPr>
              <w:t>Produces new state_out and versioned memory token.</w:t>
            </w:r>
          </w:p>
        </w:tc>
      </w:tr>
      <w:tr>
        <w:tc>
          <w:tcPr>
            <w:tcW w:type="dxa" w:w="3168"/>
            <w:vAlign w:val="top"/>
          </w:tcPr>
          <w:p>
            <w:r/>
            <w:r>
              <w:rPr>
                <w:b w:val="0"/>
                <w:sz w:val="17"/>
              </w:rPr>
              <w:t>Branch create</w:t>
            </w:r>
          </w:p>
        </w:tc>
        <w:tc>
          <w:tcPr>
            <w:tcW w:type="dxa" w:w="7488"/>
            <w:vAlign w:val="top"/>
          </w:tcPr>
          <w:p>
            <w:r/>
            <w:r>
              <w:rPr>
                <w:b w:val="0"/>
                <w:sz w:val="17"/>
              </w:rPr>
              <w:t>Produces a new state token in the child branch.</w:t>
            </w:r>
          </w:p>
        </w:tc>
      </w:tr>
      <w:tr>
        <w:tc>
          <w:tcPr>
            <w:tcW w:type="dxa" w:w="3168"/>
            <w:vAlign w:val="top"/>
          </w:tcPr>
          <w:p>
            <w:r/>
            <w:r>
              <w:rPr>
                <w:b w:val="0"/>
                <w:sz w:val="17"/>
              </w:rPr>
              <w:t>Rollback</w:t>
            </w:r>
          </w:p>
        </w:tc>
        <w:tc>
          <w:tcPr>
            <w:tcW w:type="dxa" w:w="7488"/>
            <w:vAlign w:val="top"/>
          </w:tcPr>
          <w:p>
            <w:r/>
            <w:r>
              <w:rPr>
                <w:b w:val="0"/>
                <w:sz w:val="17"/>
              </w:rPr>
              <w:t>Rebinds active state to a previous valid rollback token and expires descendants.</w:t>
            </w:r>
          </w:p>
        </w:tc>
      </w:tr>
      <w:tr>
        <w:tc>
          <w:tcPr>
            <w:tcW w:type="dxa" w:w="3168"/>
            <w:vAlign w:val="top"/>
          </w:tcPr>
          <w:p>
            <w:r/>
            <w:r>
              <w:rPr>
                <w:b w:val="0"/>
                <w:sz w:val="17"/>
              </w:rPr>
              <w:t>Commit</w:t>
            </w:r>
          </w:p>
        </w:tc>
        <w:tc>
          <w:tcPr>
            <w:tcW w:type="dxa" w:w="7488"/>
            <w:vAlign w:val="top"/>
          </w:tcPr>
          <w:p>
            <w:r/>
            <w:r>
              <w:rPr>
                <w:b w:val="0"/>
                <w:sz w:val="17"/>
              </w:rPr>
              <w:t>Produces a committed state token gated by an audit token if policy requires it.</w:t>
            </w:r>
          </w:p>
        </w:tc>
      </w:tr>
    </w:tbl>
    <w:p/>
    <w:p>
      <w:pPr>
        <w:pStyle w:val="CodeBlock"/>
      </w:pPr>
      <w:r>
        <w:rPr>
          <w:rFonts w:ascii="Consolas" w:hAnsi="Consolas" w:eastAsia="Consolas"/>
          <w:sz w:val="16"/>
        </w:rPr>
        <w:t>{</w:t>
        <w:br/>
        <w:t xml:space="preserve">  "id": 21,</w:t>
        <w:br/>
        <w:t xml:space="preserve">  "op": "B.ADD",</w:t>
        <w:br/>
        <w:t xml:space="preserve">  "reads": ["%reg.r1#0@main", "literal:10"],</w:t>
        <w:br/>
        <w:t xml:space="preserve">  "writes": ["%reg.r2#1@main"],</w:t>
        <w:br/>
        <w:t xml:space="preserve">  "state_in": "%state#0@main",</w:t>
        <w:br/>
        <w:t xml:space="preserve">  "state_out": "%state#1@main",</w:t>
        <w:br/>
        <w:t xml:space="preserve">  "effects": ["writes_register"],</w:t>
        <w:br/>
        <w:t xml:space="preserve">  "domain": "BIN"</w:t>
        <w:br/>
        <w:t>}</w:t>
      </w:r>
    </w:p>
    <w:p>
      <w:pPr>
        <w:pStyle w:val="Heading1"/>
      </w:pPr>
      <w:r>
        <w:t>5. Branch Token Model</w:t>
      </w:r>
    </w:p>
    <w:p>
      <w:r>
        <w:t>A branch token identifies a possible future. It records parent lineage, fork source, active head state, resource budget, and speculative/committed status.</w:t>
      </w:r>
    </w:p>
    <w:p>
      <w:pPr>
        <w:pStyle w:val="CodeBlock"/>
      </w:pPr>
      <w:r>
        <w:rPr>
          <w:rFonts w:ascii="Consolas" w:hAnsi="Consolas" w:eastAsia="Consolas"/>
          <w:sz w:val="16"/>
        </w:rPr>
        <w:t>{</w:t>
        <w:br/>
        <w:t xml:space="preserve">  "branch_id": "@branch.a",</w:t>
        <w:br/>
        <w:t xml:space="preserve">  "parent_branch": "@branch.main",</w:t>
        <w:br/>
        <w:t xml:space="preserve">  "forked_from_state": "%state#2@main",</w:t>
        <w:br/>
        <w:t xml:space="preserve">  "head_state": "%state#0@branch.a",</w:t>
        <w:br/>
        <w:t xml:space="preserve">  "status": "speculative",</w:t>
        <w:br/>
        <w:t xml:space="preserve">  "budget": {"max_states": 128, "max_memory_bytes": 1048576},</w:t>
        <w:br/>
        <w:t xml:space="preserve">  "score": null,</w:t>
        <w:br/>
        <w:t xml:space="preserve">  "audit_status": "unaudited"</w:t>
        <w:br/>
        <w:t>}</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7"/>
              </w:rPr>
              <w:t>Branch field</w:t>
            </w:r>
          </w:p>
        </w:tc>
        <w:tc>
          <w:tcPr>
            <w:tcW w:type="dxa" w:w="7920"/>
            <w:vAlign w:val="top"/>
            <w:shd w:fill="D9EAF7"/>
          </w:tcPr>
          <w:p>
            <w:r/>
            <w:r>
              <w:rPr>
                <w:b/>
                <w:sz w:val="17"/>
              </w:rPr>
              <w:t>Purpose</w:t>
            </w:r>
          </w:p>
        </w:tc>
      </w:tr>
      <w:tr>
        <w:tc>
          <w:tcPr>
            <w:tcW w:type="dxa" w:w="2880"/>
            <w:vAlign w:val="top"/>
          </w:tcPr>
          <w:p>
            <w:r/>
            <w:r>
              <w:rPr>
                <w:b w:val="0"/>
                <w:sz w:val="17"/>
              </w:rPr>
              <w:t>branch_id</w:t>
            </w:r>
          </w:p>
        </w:tc>
        <w:tc>
          <w:tcPr>
            <w:tcW w:type="dxa" w:w="7920"/>
            <w:vAlign w:val="top"/>
          </w:tcPr>
          <w:p>
            <w:r/>
            <w:r>
              <w:rPr>
                <w:b w:val="0"/>
                <w:sz w:val="17"/>
              </w:rPr>
              <w:t>Stable branch label or generated identifier.</w:t>
            </w:r>
          </w:p>
        </w:tc>
      </w:tr>
      <w:tr>
        <w:tc>
          <w:tcPr>
            <w:tcW w:type="dxa" w:w="2880"/>
            <w:vAlign w:val="top"/>
          </w:tcPr>
          <w:p>
            <w:r/>
            <w:r>
              <w:rPr>
                <w:b w:val="0"/>
                <w:sz w:val="17"/>
              </w:rPr>
              <w:t>parent_branch</w:t>
            </w:r>
          </w:p>
        </w:tc>
        <w:tc>
          <w:tcPr>
            <w:tcW w:type="dxa" w:w="7920"/>
            <w:vAlign w:val="top"/>
          </w:tcPr>
          <w:p>
            <w:r/>
            <w:r>
              <w:rPr>
                <w:b w:val="0"/>
                <w:sz w:val="17"/>
              </w:rPr>
              <w:t>Lineage source. Used to validate inherited values.</w:t>
            </w:r>
          </w:p>
        </w:tc>
      </w:tr>
      <w:tr>
        <w:tc>
          <w:tcPr>
            <w:tcW w:type="dxa" w:w="2880"/>
            <w:vAlign w:val="top"/>
          </w:tcPr>
          <w:p>
            <w:r/>
            <w:r>
              <w:rPr>
                <w:b w:val="0"/>
                <w:sz w:val="17"/>
              </w:rPr>
              <w:t>forked_from_state</w:t>
            </w:r>
          </w:p>
        </w:tc>
        <w:tc>
          <w:tcPr>
            <w:tcW w:type="dxa" w:w="7920"/>
            <w:vAlign w:val="top"/>
          </w:tcPr>
          <w:p>
            <w:r/>
            <w:r>
              <w:rPr>
                <w:b w:val="0"/>
                <w:sz w:val="17"/>
              </w:rPr>
              <w:t>State token used as branch root.</w:t>
            </w:r>
          </w:p>
        </w:tc>
      </w:tr>
      <w:tr>
        <w:tc>
          <w:tcPr>
            <w:tcW w:type="dxa" w:w="2880"/>
            <w:vAlign w:val="top"/>
          </w:tcPr>
          <w:p>
            <w:r/>
            <w:r>
              <w:rPr>
                <w:b w:val="0"/>
                <w:sz w:val="17"/>
              </w:rPr>
              <w:t>head_state</w:t>
            </w:r>
          </w:p>
        </w:tc>
        <w:tc>
          <w:tcPr>
            <w:tcW w:type="dxa" w:w="7920"/>
            <w:vAlign w:val="top"/>
          </w:tcPr>
          <w:p>
            <w:r/>
            <w:r>
              <w:rPr>
                <w:b w:val="0"/>
                <w:sz w:val="17"/>
              </w:rPr>
              <w:t>Current state token of the branch.</w:t>
            </w:r>
          </w:p>
        </w:tc>
      </w:tr>
      <w:tr>
        <w:tc>
          <w:tcPr>
            <w:tcW w:type="dxa" w:w="2880"/>
            <w:vAlign w:val="top"/>
          </w:tcPr>
          <w:p>
            <w:r/>
            <w:r>
              <w:rPr>
                <w:b w:val="0"/>
                <w:sz w:val="17"/>
              </w:rPr>
              <w:t>status</w:t>
            </w:r>
          </w:p>
        </w:tc>
        <w:tc>
          <w:tcPr>
            <w:tcW w:type="dxa" w:w="7920"/>
            <w:vAlign w:val="top"/>
          </w:tcPr>
          <w:p>
            <w:r/>
            <w:r>
              <w:rPr>
                <w:b w:val="0"/>
                <w:sz w:val="17"/>
              </w:rPr>
              <w:t>speculative, active, selected, merged, pruned, committed, rolled_back, invalid.</w:t>
            </w:r>
          </w:p>
        </w:tc>
      </w:tr>
      <w:tr>
        <w:tc>
          <w:tcPr>
            <w:tcW w:type="dxa" w:w="2880"/>
            <w:vAlign w:val="top"/>
          </w:tcPr>
          <w:p>
            <w:r/>
            <w:r>
              <w:rPr>
                <w:b w:val="0"/>
                <w:sz w:val="17"/>
              </w:rPr>
              <w:t>budget</w:t>
            </w:r>
          </w:p>
        </w:tc>
        <w:tc>
          <w:tcPr>
            <w:tcW w:type="dxa" w:w="7920"/>
            <w:vAlign w:val="top"/>
          </w:tcPr>
          <w:p>
            <w:r/>
            <w:r>
              <w:rPr>
                <w:b w:val="0"/>
                <w:sz w:val="17"/>
              </w:rPr>
              <w:t>Branch explosion control: max states, memory, depth, energy, and runtime.</w:t>
            </w:r>
          </w:p>
        </w:tc>
      </w:tr>
      <w:tr>
        <w:tc>
          <w:tcPr>
            <w:tcW w:type="dxa" w:w="2880"/>
            <w:vAlign w:val="top"/>
          </w:tcPr>
          <w:p>
            <w:r/>
            <w:r>
              <w:rPr>
                <w:b w:val="0"/>
                <w:sz w:val="17"/>
              </w:rPr>
              <w:t>score</w:t>
            </w:r>
          </w:p>
        </w:tc>
        <w:tc>
          <w:tcPr>
            <w:tcW w:type="dxa" w:w="7920"/>
            <w:vAlign w:val="top"/>
          </w:tcPr>
          <w:p>
            <w:r/>
            <w:r>
              <w:rPr>
                <w:b w:val="0"/>
                <w:sz w:val="17"/>
              </w:rPr>
              <w:t>Fitness/confidence used by SELECT, RANK, VPHI.SELECT.</w:t>
            </w:r>
          </w:p>
        </w:tc>
      </w:tr>
      <w:tr>
        <w:tc>
          <w:tcPr>
            <w:tcW w:type="dxa" w:w="2880"/>
            <w:vAlign w:val="top"/>
          </w:tcPr>
          <w:p>
            <w:r/>
            <w:r>
              <w:rPr>
                <w:b w:val="0"/>
                <w:sz w:val="17"/>
              </w:rPr>
              <w:t>audit_status</w:t>
            </w:r>
          </w:p>
        </w:tc>
        <w:tc>
          <w:tcPr>
            <w:tcW w:type="dxa" w:w="7920"/>
            <w:vAlign w:val="top"/>
          </w:tcPr>
          <w:p>
            <w:r/>
            <w:r>
              <w:rPr>
                <w:b w:val="0"/>
                <w:sz w:val="17"/>
              </w:rPr>
              <w:t>Whether the branch has passed Aegis checks for its intended action.</w:t>
            </w:r>
          </w:p>
        </w:tc>
      </w:tr>
    </w:tbl>
    <w:p/>
    <w:p>
      <w:pPr>
        <w:pStyle w:val="Heading1"/>
      </w:pPr>
      <w:r>
        <w:t>6. Audit Token Model</w:t>
      </w:r>
    </w:p>
    <w:p>
      <w:r>
        <w:t>Aegis audit results are not ordinary booleans. They are capability-bearing predicates that authorize specific actions over specific subjects under specific policies. They must expire when their subject changes.</w:t>
      </w:r>
    </w:p>
    <w:p>
      <w:pPr>
        <w:pStyle w:val="CodeBlock"/>
      </w:pPr>
      <w:r>
        <w:rPr>
          <w:rFonts w:ascii="Consolas" w:hAnsi="Consolas" w:eastAsia="Consolas"/>
          <w:sz w:val="16"/>
        </w:rPr>
        <w:t>{</w:t>
        <w:br/>
        <w:t xml:space="preserve">  "token_id": "%audit_token#60",</w:t>
        <w:br/>
        <w:t xml:space="preserve">  "predicate": "%pred.p0#audit@main",</w:t>
        <w:br/>
        <w:t xml:space="preserve">  "subject": "s1",</w:t>
        <w:br/>
        <w:t xml:space="preserve">  "subject_state": "%state#merged@main",</w:t>
        <w:br/>
        <w:t xml:space="preserve">  "policy": "@policy.safe_commit",</w:t>
        <w:br/>
        <w:t xml:space="preserve">  "valid_for": ["S.COMMIT", "A.SEAL"],</w:t>
        <w:br/>
        <w:t xml:space="preserve">  "issued_by": "A.AUDIT",</w:t>
        <w:br/>
        <w:t xml:space="preserve">  "expires_on_state_change": true,</w:t>
        <w:br/>
        <w:t xml:space="preserve">  "status": "valid"</w:t>
        <w:br/>
        <w:t>}</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7"/>
              </w:rPr>
              <w:t>Rule</w:t>
            </w:r>
          </w:p>
        </w:tc>
        <w:tc>
          <w:tcPr>
            <w:tcW w:type="dxa" w:w="7920"/>
            <w:vAlign w:val="top"/>
            <w:shd w:fill="D9EAF7"/>
          </w:tcPr>
          <w:p>
            <w:r/>
            <w:r>
              <w:rPr>
                <w:b/>
                <w:sz w:val="17"/>
              </w:rPr>
              <w:t>Requirement</w:t>
            </w:r>
          </w:p>
        </w:tc>
      </w:tr>
      <w:tr>
        <w:tc>
          <w:tcPr>
            <w:tcW w:type="dxa" w:w="2880"/>
            <w:vAlign w:val="top"/>
          </w:tcPr>
          <w:p>
            <w:r/>
            <w:r>
              <w:rPr>
                <w:b w:val="0"/>
                <w:sz w:val="17"/>
              </w:rPr>
              <w:t>Token subject match</w:t>
            </w:r>
          </w:p>
        </w:tc>
        <w:tc>
          <w:tcPr>
            <w:tcW w:type="dxa" w:w="7920"/>
            <w:vAlign w:val="top"/>
          </w:tcPr>
          <w:p>
            <w:r/>
            <w:r>
              <w:rPr>
                <w:b w:val="0"/>
                <w:sz w:val="17"/>
              </w:rPr>
              <w:t>A commit or seal may use only an audit token that covers the exact subject/state being committed or sealed.</w:t>
            </w:r>
          </w:p>
        </w:tc>
      </w:tr>
      <w:tr>
        <w:tc>
          <w:tcPr>
            <w:tcW w:type="dxa" w:w="2880"/>
            <w:vAlign w:val="top"/>
          </w:tcPr>
          <w:p>
            <w:r/>
            <w:r>
              <w:rPr>
                <w:b w:val="0"/>
                <w:sz w:val="17"/>
              </w:rPr>
              <w:t>Token expiry</w:t>
            </w:r>
          </w:p>
        </w:tc>
        <w:tc>
          <w:tcPr>
            <w:tcW w:type="dxa" w:w="7920"/>
            <w:vAlign w:val="top"/>
          </w:tcPr>
          <w:p>
            <w:r/>
            <w:r>
              <w:rPr>
                <w:b w:val="0"/>
                <w:sz w:val="17"/>
              </w:rPr>
              <w:t>If the audited state mutates after audit, the token becomes EXPIRED.</w:t>
            </w:r>
          </w:p>
        </w:tc>
      </w:tr>
      <w:tr>
        <w:tc>
          <w:tcPr>
            <w:tcW w:type="dxa" w:w="2880"/>
            <w:vAlign w:val="top"/>
          </w:tcPr>
          <w:p>
            <w:r/>
            <w:r>
              <w:rPr>
                <w:b w:val="0"/>
                <w:sz w:val="17"/>
              </w:rPr>
              <w:t>No forged predicates</w:t>
            </w:r>
          </w:p>
        </w:tc>
        <w:tc>
          <w:tcPr>
            <w:tcW w:type="dxa" w:w="7920"/>
            <w:vAlign w:val="top"/>
          </w:tcPr>
          <w:p>
            <w:r/>
            <w:r>
              <w:rPr>
                <w:b w:val="0"/>
                <w:sz w:val="17"/>
              </w:rPr>
              <w:t>A normal predicate register cannot authorize commit unless tied to an audit token.</w:t>
            </w:r>
          </w:p>
        </w:tc>
      </w:tr>
      <w:tr>
        <w:tc>
          <w:tcPr>
            <w:tcW w:type="dxa" w:w="2880"/>
            <w:vAlign w:val="top"/>
          </w:tcPr>
          <w:p>
            <w:r/>
            <w:r>
              <w:rPr>
                <w:b w:val="0"/>
                <w:sz w:val="17"/>
              </w:rPr>
              <w:t>Policy context</w:t>
            </w:r>
          </w:p>
        </w:tc>
        <w:tc>
          <w:tcPr>
            <w:tcW w:type="dxa" w:w="7920"/>
            <w:vAlign w:val="top"/>
          </w:tcPr>
          <w:p>
            <w:r/>
            <w:r>
              <w:rPr>
                <w:b w:val="0"/>
                <w:sz w:val="17"/>
              </w:rPr>
              <w:t>The token is valid only under the same policy, privilege, topology, and domain context that created it.</w:t>
            </w:r>
          </w:p>
        </w:tc>
      </w:tr>
    </w:tbl>
    <w:p/>
    <w:p>
      <w:pPr>
        <w:pStyle w:val="Heading1"/>
      </w:pPr>
      <w:r>
        <w:t>7. Versioned Memory Model</w:t>
      </w:r>
    </w:p>
    <w:p>
      <w:r>
        <w:t>NVIR memory is versioned by branch and state. Copy-on-write and deltas are explicit because NVISC relies on safe branching and rollback without copying entire machine images.</w:t>
      </w:r>
    </w:p>
    <w:p>
      <w:pPr>
        <w:pStyle w:val="CodeBlock"/>
      </w:pPr>
      <w:r>
        <w:rPr>
          <w:rFonts w:ascii="Consolas" w:hAnsi="Consolas" w:eastAsia="Consolas"/>
          <w:sz w:val="16"/>
        </w:rPr>
        <w:t>Memory token form:</w:t>
        <w:br/>
        <w:t>%mem.&lt;region&gt;#&lt;version&gt;@&lt;branch&gt;</w:t>
        <w:br/>
        <w:br/>
        <w:t>Examples:</w:t>
        <w:br/>
        <w:t>%mem.main#0@main</w:t>
        <w:br/>
        <w:t>%mem.rsm0#cow1@branch.a</w:t>
        <w:br/>
        <w:t>%delta#71@branch.a</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r/>
            <w:r>
              <w:rPr>
                <w:b/>
                <w:sz w:val="17"/>
              </w:rPr>
              <w:t>Memory operation</w:t>
            </w:r>
          </w:p>
        </w:tc>
        <w:tc>
          <w:tcPr>
            <w:tcW w:type="dxa" w:w="7632"/>
            <w:vAlign w:val="top"/>
            <w:shd w:fill="D9EAF7"/>
          </w:tcPr>
          <w:p>
            <w:r/>
            <w:r>
              <w:rPr>
                <w:b/>
                <w:sz w:val="17"/>
              </w:rPr>
              <w:t>Lowering behavior</w:t>
            </w:r>
          </w:p>
        </w:tc>
      </w:tr>
      <w:tr>
        <w:tc>
          <w:tcPr>
            <w:tcW w:type="dxa" w:w="3168"/>
            <w:vAlign w:val="top"/>
          </w:tcPr>
          <w:p>
            <w:r/>
            <w:r>
              <w:rPr>
                <w:b w:val="0"/>
                <w:sz w:val="17"/>
              </w:rPr>
              <w:t>B.LOAD</w:t>
            </w:r>
          </w:p>
        </w:tc>
        <w:tc>
          <w:tcPr>
            <w:tcW w:type="dxa" w:w="7632"/>
            <w:vAlign w:val="top"/>
          </w:tcPr>
          <w:p>
            <w:r/>
            <w:r>
              <w:rPr>
                <w:b w:val="0"/>
                <w:sz w:val="17"/>
              </w:rPr>
              <w:t>Reads memory token, writes register VSSA value, normally preserves state token unless load metadata changes.</w:t>
            </w:r>
          </w:p>
        </w:tc>
      </w:tr>
      <w:tr>
        <w:tc>
          <w:tcPr>
            <w:tcW w:type="dxa" w:w="3168"/>
            <w:vAlign w:val="top"/>
          </w:tcPr>
          <w:p>
            <w:r/>
            <w:r>
              <w:rPr>
                <w:b w:val="0"/>
                <w:sz w:val="17"/>
              </w:rPr>
              <w:t>B.STORE</w:t>
            </w:r>
          </w:p>
        </w:tc>
        <w:tc>
          <w:tcPr>
            <w:tcW w:type="dxa" w:w="7632"/>
            <w:vAlign w:val="top"/>
          </w:tcPr>
          <w:p>
            <w:r/>
            <w:r>
              <w:rPr>
                <w:b w:val="0"/>
                <w:sz w:val="17"/>
              </w:rPr>
              <w:t>Reads register/value, writes a new memory token and state token.</w:t>
            </w:r>
          </w:p>
        </w:tc>
      </w:tr>
      <w:tr>
        <w:tc>
          <w:tcPr>
            <w:tcW w:type="dxa" w:w="3168"/>
            <w:vAlign w:val="top"/>
          </w:tcPr>
          <w:p>
            <w:r/>
            <w:r>
              <w:rPr>
                <w:b w:val="0"/>
                <w:sz w:val="17"/>
              </w:rPr>
              <w:t>RSM.COW</w:t>
            </w:r>
          </w:p>
        </w:tc>
        <w:tc>
          <w:tcPr>
            <w:tcW w:type="dxa" w:w="7632"/>
            <w:vAlign w:val="top"/>
          </w:tcPr>
          <w:p>
            <w:r/>
            <w:r>
              <w:rPr>
                <w:b w:val="0"/>
                <w:sz w:val="17"/>
              </w:rPr>
              <w:t>Creates a COW memory token tied to the current state and branch.</w:t>
            </w:r>
          </w:p>
        </w:tc>
      </w:tr>
      <w:tr>
        <w:tc>
          <w:tcPr>
            <w:tcW w:type="dxa" w:w="3168"/>
            <w:vAlign w:val="top"/>
          </w:tcPr>
          <w:p>
            <w:r/>
            <w:r>
              <w:rPr>
                <w:b w:val="0"/>
                <w:sz w:val="17"/>
              </w:rPr>
              <w:t>RSM.DELTA</w:t>
            </w:r>
          </w:p>
        </w:tc>
        <w:tc>
          <w:tcPr>
            <w:tcW w:type="dxa" w:w="7632"/>
            <w:vAlign w:val="top"/>
          </w:tcPr>
          <w:p>
            <w:r/>
            <w:r>
              <w:rPr>
                <w:b w:val="0"/>
                <w:sz w:val="17"/>
              </w:rPr>
              <w:t>Creates delta object from base state to target state.</w:t>
            </w:r>
          </w:p>
        </w:tc>
      </w:tr>
      <w:tr>
        <w:tc>
          <w:tcPr>
            <w:tcW w:type="dxa" w:w="3168"/>
            <w:vAlign w:val="top"/>
          </w:tcPr>
          <w:p>
            <w:r/>
            <w:r>
              <w:rPr>
                <w:b w:val="0"/>
                <w:sz w:val="17"/>
              </w:rPr>
              <w:t>RSM.GC</w:t>
            </w:r>
          </w:p>
        </w:tc>
        <w:tc>
          <w:tcPr>
            <w:tcW w:type="dxa" w:w="7632"/>
            <w:vAlign w:val="top"/>
          </w:tcPr>
          <w:p>
            <w:r/>
            <w:r>
              <w:rPr>
                <w:b w:val="0"/>
                <w:sz w:val="17"/>
              </w:rPr>
              <w:t>Marks dead branch memory collectible; cannot collect live rollback targets or sealed commits.</w:t>
            </w:r>
          </w:p>
        </w:tc>
      </w:tr>
      <w:tr>
        <w:tc>
          <w:tcPr>
            <w:tcW w:type="dxa" w:w="3168"/>
            <w:vAlign w:val="top"/>
          </w:tcPr>
          <w:p>
            <w:r/>
            <w:r>
              <w:rPr>
                <w:b w:val="0"/>
                <w:sz w:val="17"/>
              </w:rPr>
              <w:t>ROLLBACK</w:t>
            </w:r>
          </w:p>
        </w:tc>
        <w:tc>
          <w:tcPr>
            <w:tcW w:type="dxa" w:w="7632"/>
            <w:vAlign w:val="top"/>
          </w:tcPr>
          <w:p>
            <w:r/>
            <w:r>
              <w:rPr>
                <w:b w:val="0"/>
                <w:sz w:val="17"/>
              </w:rPr>
              <w:t>Rebinds active memory token to rollback state memory token and expires descendant-only handles.</w:t>
            </w:r>
          </w:p>
        </w:tc>
      </w:tr>
    </w:tbl>
    <w:p/>
    <w:p>
      <w:pPr>
        <w:pStyle w:val="CodeBlock"/>
      </w:pPr>
      <w:r>
        <w:rPr>
          <w:rFonts w:ascii="Consolas" w:hAnsi="Consolas" w:eastAsia="Consolas"/>
          <w:sz w:val="16"/>
        </w:rPr>
        <w:t>{</w:t>
        <w:br/>
        <w:t xml:space="preserve">  "id": 70,</w:t>
        <w:br/>
        <w:t xml:space="preserve">  "op": "RSM.COW",</w:t>
        <w:br/>
        <w:t xml:space="preserve">  "region": "rsm0",</w:t>
        <w:br/>
        <w:t xml:space="preserve">  "state_in": "%state#2@main",</w:t>
        <w:br/>
        <w:t xml:space="preserve">  "state_out": "%state#3@main",</w:t>
        <w:br/>
        <w:t xml:space="preserve">  "memory_in": "%mem.rsm0#0@main",</w:t>
        <w:br/>
        <w:t xml:space="preserve">  "memory_out": "%mem.rsm0#cow0@main",</w:t>
        <w:br/>
        <w:t xml:space="preserve">  "effects": ["creates_cow_region", "writes_state_graph"]</w:t>
        <w:br/>
        <w:t>}</w:t>
      </w:r>
    </w:p>
    <w:p>
      <w:pPr>
        <w:pStyle w:val="Heading1"/>
      </w:pPr>
      <w:r>
        <w:t>8. VPHI / State Merge Nodes</w:t>
      </w:r>
    </w:p>
    <w:p>
      <w:r>
        <w:t>VPHI nodes are NVISC merge nodes. They generalize SSA phi nodes to branchable machine futures. A VPHI node creates a new state identity; it is not identical to either input branch.</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7"/>
              </w:rPr>
              <w:t>VPHI node</w:t>
            </w:r>
          </w:p>
        </w:tc>
        <w:tc>
          <w:tcPr>
            <w:tcW w:type="dxa" w:w="7920"/>
            <w:vAlign w:val="top"/>
            <w:shd w:fill="D9EAF7"/>
          </w:tcPr>
          <w:p>
            <w:r/>
            <w:r>
              <w:rPr>
                <w:b/>
                <w:sz w:val="17"/>
              </w:rPr>
              <w:t>Use</w:t>
            </w:r>
          </w:p>
        </w:tc>
      </w:tr>
      <w:tr>
        <w:tc>
          <w:tcPr>
            <w:tcW w:type="dxa" w:w="2880"/>
            <w:vAlign w:val="top"/>
          </w:tcPr>
          <w:p>
            <w:r/>
            <w:r>
              <w:rPr>
                <w:b w:val="0"/>
                <w:sz w:val="17"/>
              </w:rPr>
              <w:t>VPHI.EXACT</w:t>
            </w:r>
          </w:p>
        </w:tc>
        <w:tc>
          <w:tcPr>
            <w:tcW w:type="dxa" w:w="7920"/>
            <w:vAlign w:val="top"/>
          </w:tcPr>
          <w:p>
            <w:r/>
            <w:r>
              <w:rPr>
                <w:b w:val="0"/>
                <w:sz w:val="17"/>
              </w:rPr>
              <w:t>Merge only if branch states are exactly compatible.</w:t>
            </w:r>
          </w:p>
        </w:tc>
      </w:tr>
      <w:tr>
        <w:tc>
          <w:tcPr>
            <w:tcW w:type="dxa" w:w="2880"/>
            <w:vAlign w:val="top"/>
          </w:tcPr>
          <w:p>
            <w:r/>
            <w:r>
              <w:rPr>
                <w:b w:val="0"/>
                <w:sz w:val="17"/>
              </w:rPr>
              <w:t>VPHI.SELECT</w:t>
            </w:r>
          </w:p>
        </w:tc>
        <w:tc>
          <w:tcPr>
            <w:tcW w:type="dxa" w:w="7920"/>
            <w:vAlign w:val="top"/>
          </w:tcPr>
          <w:p>
            <w:r/>
            <w:r>
              <w:rPr>
                <w:b w:val="0"/>
                <w:sz w:val="17"/>
              </w:rPr>
              <w:t>Choose a winner branch by score, BEST, or policy.</w:t>
            </w:r>
          </w:p>
        </w:tc>
      </w:tr>
      <w:tr>
        <w:tc>
          <w:tcPr>
            <w:tcW w:type="dxa" w:w="2880"/>
            <w:vAlign w:val="top"/>
          </w:tcPr>
          <w:p>
            <w:r/>
            <w:r>
              <w:rPr>
                <w:b w:val="0"/>
                <w:sz w:val="17"/>
              </w:rPr>
              <w:t>VPHI.WEIGHT</w:t>
            </w:r>
          </w:p>
        </w:tc>
        <w:tc>
          <w:tcPr>
            <w:tcW w:type="dxa" w:w="7920"/>
            <w:vAlign w:val="top"/>
          </w:tcPr>
          <w:p>
            <w:r/>
            <w:r>
              <w:rPr>
                <w:b w:val="0"/>
                <w:sz w:val="17"/>
              </w:rPr>
              <w:t>Weighted merge for probabilistic/tensor workloads.</w:t>
            </w:r>
          </w:p>
        </w:tc>
      </w:tr>
      <w:tr>
        <w:tc>
          <w:tcPr>
            <w:tcW w:type="dxa" w:w="2880"/>
            <w:vAlign w:val="top"/>
          </w:tcPr>
          <w:p>
            <w:r/>
            <w:r>
              <w:rPr>
                <w:b w:val="0"/>
                <w:sz w:val="17"/>
              </w:rPr>
              <w:t>VPHI.VOTE</w:t>
            </w:r>
          </w:p>
        </w:tc>
        <w:tc>
          <w:tcPr>
            <w:tcW w:type="dxa" w:w="7920"/>
            <w:vAlign w:val="top"/>
          </w:tcPr>
          <w:p>
            <w:r/>
            <w:r>
              <w:rPr>
                <w:b w:val="0"/>
                <w:sz w:val="17"/>
              </w:rPr>
              <w:t>Majority/quorum merge for redundant computation.</w:t>
            </w:r>
          </w:p>
        </w:tc>
      </w:tr>
      <w:tr>
        <w:tc>
          <w:tcPr>
            <w:tcW w:type="dxa" w:w="2880"/>
            <w:vAlign w:val="top"/>
          </w:tcPr>
          <w:p>
            <w:r/>
            <w:r>
              <w:rPr>
                <w:b w:val="0"/>
                <w:sz w:val="17"/>
              </w:rPr>
              <w:t>VPHI.PATCH</w:t>
            </w:r>
          </w:p>
        </w:tc>
        <w:tc>
          <w:tcPr>
            <w:tcW w:type="dxa" w:w="7920"/>
            <w:vAlign w:val="top"/>
          </w:tcPr>
          <w:p>
            <w:r/>
            <w:r>
              <w:rPr>
                <w:b w:val="0"/>
                <w:sz w:val="17"/>
              </w:rPr>
              <w:t>Apply delta patches to merge states.</w:t>
            </w:r>
          </w:p>
        </w:tc>
      </w:tr>
      <w:tr>
        <w:tc>
          <w:tcPr>
            <w:tcW w:type="dxa" w:w="2880"/>
            <w:vAlign w:val="top"/>
          </w:tcPr>
          <w:p>
            <w:r/>
            <w:r>
              <w:rPr>
                <w:b w:val="0"/>
                <w:sz w:val="17"/>
              </w:rPr>
              <w:t>VPHI.AEGIS</w:t>
            </w:r>
          </w:p>
        </w:tc>
        <w:tc>
          <w:tcPr>
            <w:tcW w:type="dxa" w:w="7920"/>
            <w:vAlign w:val="top"/>
          </w:tcPr>
          <w:p>
            <w:r/>
            <w:r>
              <w:rPr>
                <w:b w:val="0"/>
                <w:sz w:val="17"/>
              </w:rPr>
              <w:t>Merge only after Aegis policy validation.</w:t>
            </w:r>
          </w:p>
        </w:tc>
      </w:tr>
      <w:tr>
        <w:tc>
          <w:tcPr>
            <w:tcW w:type="dxa" w:w="2880"/>
            <w:vAlign w:val="top"/>
          </w:tcPr>
          <w:p>
            <w:r/>
            <w:r>
              <w:rPr>
                <w:b w:val="0"/>
                <w:sz w:val="17"/>
              </w:rPr>
              <w:t>VPHI.FAIL</w:t>
            </w:r>
          </w:p>
        </w:tc>
        <w:tc>
          <w:tcPr>
            <w:tcW w:type="dxa" w:w="7920"/>
            <w:vAlign w:val="top"/>
          </w:tcPr>
          <w:p>
            <w:r/>
            <w:r>
              <w:rPr>
                <w:b w:val="0"/>
                <w:sz w:val="17"/>
              </w:rPr>
              <w:t>Explicitly reject conflicting branches.</w:t>
            </w:r>
          </w:p>
        </w:tc>
      </w:tr>
    </w:tbl>
    <w:p/>
    <w:p>
      <w:pPr>
        <w:pStyle w:val="CodeBlock"/>
      </w:pPr>
      <w:r>
        <w:rPr>
          <w:rFonts w:ascii="Consolas" w:hAnsi="Consolas" w:eastAsia="Consolas"/>
          <w:sz w:val="16"/>
        </w:rPr>
        <w:t>{</w:t>
        <w:br/>
        <w:t xml:space="preserve">  "id": 51,</w:t>
        <w:br/>
        <w:t xml:space="preserve">  "op": "VPHI.SELECT",</w:t>
        <w:br/>
        <w:t xml:space="preserve">  "inputs": ["%state#final@branch.a", "%state#final@branch.b"],</w:t>
        <w:br/>
        <w:t xml:space="preserve">  "selection_rule": "BEST",</w:t>
        <w:br/>
        <w:t xml:space="preserve">  "score_sources": ["%score@branch.a", "%score@branch.b"],</w:t>
        <w:br/>
        <w:t xml:space="preserve">  "writes": ["s1"],</w:t>
        <w:br/>
        <w:t xml:space="preserve">  "state_out": "%state#merged@main",</w:t>
        <w:br/>
        <w:t xml:space="preserve">  "effects": ["merges_branch", "writes_state_graph"]</w:t>
        <w:br/>
        <w:t>}</w:t>
      </w:r>
    </w:p>
    <w:p>
      <w:pPr>
        <w:pStyle w:val="Heading1"/>
      </w:pPr>
      <w:r>
        <w:t>9. Dependency Edge Graph</w:t>
      </w:r>
    </w:p>
    <w:p>
      <w:r>
        <w:t>NVIR stores dependency edges explicitly. This makes safety, scheduling, audit-gating, rollback, topology routing, and RTL test generation deterministic.</w:t>
      </w:r>
    </w:p>
    <w:tbl>
      <w:tblPr>
        <w:tblStyle w:val="TableGrid"/>
        <w:tblW w:type="auto" w:w="0"/>
        <w:jc w:val="center"/>
        <w:tblLook w:firstColumn="1" w:firstRow="1" w:lastColumn="0" w:lastRow="0" w:noHBand="0" w:noVBand="1" w:val="04A0"/>
      </w:tblPr>
      <w:tblGrid>
        <w:gridCol w:w="5112"/>
        <w:gridCol w:w="5112"/>
      </w:tblGrid>
      <w:tr>
        <w:tc>
          <w:tcPr>
            <w:tcW w:type="dxa" w:w="3312"/>
            <w:vAlign w:val="top"/>
            <w:shd w:fill="D9EAF7"/>
          </w:tcPr>
          <w:p>
            <w:r/>
            <w:r>
              <w:rPr>
                <w:b/>
                <w:sz w:val="17"/>
              </w:rPr>
              <w:t>Edge type</w:t>
            </w:r>
          </w:p>
        </w:tc>
        <w:tc>
          <w:tcPr>
            <w:tcW w:type="dxa" w:w="7488"/>
            <w:vAlign w:val="top"/>
            <w:shd w:fill="D9EAF7"/>
          </w:tcPr>
          <w:p>
            <w:r/>
            <w:r>
              <w:rPr>
                <w:b/>
                <w:sz w:val="17"/>
              </w:rPr>
              <w:t>Meaning</w:t>
            </w:r>
          </w:p>
        </w:tc>
      </w:tr>
      <w:tr>
        <w:tc>
          <w:tcPr>
            <w:tcW w:type="dxa" w:w="3312"/>
            <w:vAlign w:val="top"/>
          </w:tcPr>
          <w:p>
            <w:r/>
            <w:r>
              <w:rPr>
                <w:b w:val="0"/>
                <w:sz w:val="17"/>
              </w:rPr>
              <w:t>data_dependency</w:t>
            </w:r>
          </w:p>
        </w:tc>
        <w:tc>
          <w:tcPr>
            <w:tcW w:type="dxa" w:w="7488"/>
            <w:vAlign w:val="top"/>
          </w:tcPr>
          <w:p>
            <w:r/>
            <w:r>
              <w:rPr>
                <w:b w:val="0"/>
                <w:sz w:val="17"/>
              </w:rPr>
              <w:t>Value produced by one node is consumed by another.</w:t>
            </w:r>
          </w:p>
        </w:tc>
      </w:tr>
      <w:tr>
        <w:tc>
          <w:tcPr>
            <w:tcW w:type="dxa" w:w="3312"/>
            <w:vAlign w:val="top"/>
          </w:tcPr>
          <w:p>
            <w:r/>
            <w:r>
              <w:rPr>
                <w:b w:val="0"/>
                <w:sz w:val="17"/>
              </w:rPr>
              <w:t>state_dependency</w:t>
            </w:r>
          </w:p>
        </w:tc>
        <w:tc>
          <w:tcPr>
            <w:tcW w:type="dxa" w:w="7488"/>
            <w:vAlign w:val="top"/>
          </w:tcPr>
          <w:p>
            <w:r/>
            <w:r>
              <w:rPr>
                <w:b w:val="0"/>
                <w:sz w:val="17"/>
              </w:rPr>
              <w:t>State token order dependency.</w:t>
            </w:r>
          </w:p>
        </w:tc>
      </w:tr>
      <w:tr>
        <w:tc>
          <w:tcPr>
            <w:tcW w:type="dxa" w:w="3312"/>
            <w:vAlign w:val="top"/>
          </w:tcPr>
          <w:p>
            <w:r/>
            <w:r>
              <w:rPr>
                <w:b w:val="0"/>
                <w:sz w:val="17"/>
              </w:rPr>
              <w:t>branch_dependency</w:t>
            </w:r>
          </w:p>
        </w:tc>
        <w:tc>
          <w:tcPr>
            <w:tcW w:type="dxa" w:w="7488"/>
            <w:vAlign w:val="top"/>
          </w:tcPr>
          <w:p>
            <w:r/>
            <w:r>
              <w:rPr>
                <w:b w:val="0"/>
                <w:sz w:val="17"/>
              </w:rPr>
              <w:t>Branch creation, checkout, scoring, or selection dependency.</w:t>
            </w:r>
          </w:p>
        </w:tc>
      </w:tr>
      <w:tr>
        <w:tc>
          <w:tcPr>
            <w:tcW w:type="dxa" w:w="3312"/>
            <w:vAlign w:val="top"/>
          </w:tcPr>
          <w:p>
            <w:r/>
            <w:r>
              <w:rPr>
                <w:b w:val="0"/>
                <w:sz w:val="17"/>
              </w:rPr>
              <w:t>merge_dependency</w:t>
            </w:r>
          </w:p>
        </w:tc>
        <w:tc>
          <w:tcPr>
            <w:tcW w:type="dxa" w:w="7488"/>
            <w:vAlign w:val="top"/>
          </w:tcPr>
          <w:p>
            <w:r/>
            <w:r>
              <w:rPr>
                <w:b w:val="0"/>
                <w:sz w:val="17"/>
              </w:rPr>
              <w:t>Merge/select requires branch inputs or scores.</w:t>
            </w:r>
          </w:p>
        </w:tc>
      </w:tr>
      <w:tr>
        <w:tc>
          <w:tcPr>
            <w:tcW w:type="dxa" w:w="3312"/>
            <w:vAlign w:val="top"/>
          </w:tcPr>
          <w:p>
            <w:r/>
            <w:r>
              <w:rPr>
                <w:b w:val="0"/>
                <w:sz w:val="17"/>
              </w:rPr>
              <w:t>audit_dependency</w:t>
            </w:r>
          </w:p>
        </w:tc>
        <w:tc>
          <w:tcPr>
            <w:tcW w:type="dxa" w:w="7488"/>
            <w:vAlign w:val="top"/>
          </w:tcPr>
          <w:p>
            <w:r/>
            <w:r>
              <w:rPr>
                <w:b w:val="0"/>
                <w:sz w:val="17"/>
              </w:rPr>
              <w:t>Commit/action requires an audit token.</w:t>
            </w:r>
          </w:p>
        </w:tc>
      </w:tr>
      <w:tr>
        <w:tc>
          <w:tcPr>
            <w:tcW w:type="dxa" w:w="3312"/>
            <w:vAlign w:val="top"/>
          </w:tcPr>
          <w:p>
            <w:r/>
            <w:r>
              <w:rPr>
                <w:b w:val="0"/>
                <w:sz w:val="17"/>
              </w:rPr>
              <w:t>policy_dependency</w:t>
            </w:r>
          </w:p>
        </w:tc>
        <w:tc>
          <w:tcPr>
            <w:tcW w:type="dxa" w:w="7488"/>
            <w:vAlign w:val="top"/>
          </w:tcPr>
          <w:p>
            <w:r/>
            <w:r>
              <w:rPr>
                <w:b w:val="0"/>
                <w:sz w:val="17"/>
              </w:rPr>
              <w:t>Instruction depends on policy/capability object.</w:t>
            </w:r>
          </w:p>
        </w:tc>
      </w:tr>
      <w:tr>
        <w:tc>
          <w:tcPr>
            <w:tcW w:type="dxa" w:w="3312"/>
            <w:vAlign w:val="top"/>
          </w:tcPr>
          <w:p>
            <w:r/>
            <w:r>
              <w:rPr>
                <w:b w:val="0"/>
                <w:sz w:val="17"/>
              </w:rPr>
              <w:t>topology_dependency</w:t>
            </w:r>
          </w:p>
        </w:tc>
        <w:tc>
          <w:tcPr>
            <w:tcW w:type="dxa" w:w="7488"/>
            <w:vAlign w:val="top"/>
          </w:tcPr>
          <w:p>
            <w:r/>
            <w:r>
              <w:rPr>
                <w:b w:val="0"/>
                <w:sz w:val="17"/>
              </w:rPr>
              <w:t>Instruction depends on topology descriptor/route handle.</w:t>
            </w:r>
          </w:p>
        </w:tc>
      </w:tr>
      <w:tr>
        <w:tc>
          <w:tcPr>
            <w:tcW w:type="dxa" w:w="3312"/>
            <w:vAlign w:val="top"/>
          </w:tcPr>
          <w:p>
            <w:r/>
            <w:r>
              <w:rPr>
                <w:b w:val="0"/>
                <w:sz w:val="17"/>
              </w:rPr>
              <w:t>quantum_dependency</w:t>
            </w:r>
          </w:p>
        </w:tc>
        <w:tc>
          <w:tcPr>
            <w:tcW w:type="dxa" w:w="7488"/>
            <w:vAlign w:val="top"/>
          </w:tcPr>
          <w:p>
            <w:r/>
            <w:r>
              <w:rPr>
                <w:b w:val="0"/>
                <w:sz w:val="17"/>
              </w:rPr>
              <w:t>Instruction depends on qmode/qstate/qmeasurement.</w:t>
            </w:r>
          </w:p>
        </w:tc>
      </w:tr>
      <w:tr>
        <w:tc>
          <w:tcPr>
            <w:tcW w:type="dxa" w:w="3312"/>
            <w:vAlign w:val="top"/>
          </w:tcPr>
          <w:p>
            <w:r/>
            <w:r>
              <w:rPr>
                <w:b w:val="0"/>
                <w:sz w:val="17"/>
              </w:rPr>
              <w:t>numeric_integrity_dependency</w:t>
            </w:r>
          </w:p>
        </w:tc>
        <w:tc>
          <w:tcPr>
            <w:tcW w:type="dxa" w:w="7488"/>
            <w:vAlign w:val="top"/>
          </w:tcPr>
          <w:p>
            <w:r/>
            <w:r>
              <w:rPr>
                <w:b w:val="0"/>
                <w:sz w:val="17"/>
              </w:rPr>
              <w:t>Instruction depends on FPERR/DEC validation.</w:t>
            </w:r>
          </w:p>
        </w:tc>
      </w:tr>
      <w:tr>
        <w:tc>
          <w:tcPr>
            <w:tcW w:type="dxa" w:w="3312"/>
            <w:vAlign w:val="top"/>
          </w:tcPr>
          <w:p>
            <w:r/>
            <w:r>
              <w:rPr>
                <w:b w:val="0"/>
                <w:sz w:val="17"/>
              </w:rPr>
              <w:t>privilege_dependency</w:t>
            </w:r>
          </w:p>
        </w:tc>
        <w:tc>
          <w:tcPr>
            <w:tcW w:type="dxa" w:w="7488"/>
            <w:vAlign w:val="top"/>
          </w:tcPr>
          <w:p>
            <w:r/>
            <w:r>
              <w:rPr>
                <w:b w:val="0"/>
                <w:sz w:val="17"/>
              </w:rPr>
              <w:t>Instruction requires runtime/kernel/Aegis/debug privilege.</w:t>
            </w:r>
          </w:p>
        </w:tc>
      </w:tr>
      <w:tr>
        <w:tc>
          <w:tcPr>
            <w:tcW w:type="dxa" w:w="3312"/>
            <w:vAlign w:val="top"/>
          </w:tcPr>
          <w:p>
            <w:r/>
            <w:r>
              <w:rPr>
                <w:b w:val="0"/>
                <w:sz w:val="17"/>
              </w:rPr>
              <w:t>rollback_dependency</w:t>
            </w:r>
          </w:p>
        </w:tc>
        <w:tc>
          <w:tcPr>
            <w:tcW w:type="dxa" w:w="7488"/>
            <w:vAlign w:val="top"/>
          </w:tcPr>
          <w:p>
            <w:r/>
            <w:r>
              <w:rPr>
                <w:b w:val="0"/>
                <w:sz w:val="17"/>
              </w:rPr>
              <w:t>Instruction depends on rollback target availability.</w:t>
            </w:r>
          </w:p>
        </w:tc>
      </w:tr>
    </w:tbl>
    <w:p/>
    <w:p>
      <w:pPr>
        <w:pStyle w:val="CodeBlock"/>
      </w:pPr>
      <w:r>
        <w:rPr>
          <w:rFonts w:ascii="Consolas" w:hAnsi="Consolas" w:eastAsia="Consolas"/>
          <w:sz w:val="16"/>
        </w:rPr>
        <w:t>{</w:t>
        <w:br/>
        <w:t xml:space="preserve">  "edges": [</w:t>
        <w:br/>
        <w:t xml:space="preserve">    {"from": 10, "to": 11, "type": "audit_dependency", "reason": "S.COMMIT requires A.AUDIT token"},</w:t>
        <w:br/>
        <w:t xml:space="preserve">    {"from": 4, "to": 5, "type": "score_dependency", "reason": "branch score uses r2 from branch.a"},</w:t>
        <w:br/>
        <w:t xml:space="preserve">    {"from": 5, "to": 9, "type": "merge_dependency", "reason": "VPHI.SELECT requires scored branch.a"}</w:t>
        <w:br/>
        <w:t xml:space="preserve">  ]</w:t>
        <w:br/>
        <w:t>}</w:t>
      </w:r>
    </w:p>
    <w:p>
      <w:pPr>
        <w:pStyle w:val="Heading1"/>
      </w:pPr>
      <w:r>
        <w:t>10. Safe Data Across Futures Rules</w:t>
      </w:r>
    </w:p>
    <w:p>
      <w:r>
        <w:t>Safe dataflow across possible futures is the central reason NVIR exists. Values are branch-scoped unless explicitly inherited, sealed, audited, committed, or merged.</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r/>
            <w:r>
              <w:rPr>
                <w:b/>
                <w:sz w:val="17"/>
              </w:rPr>
              <w:t>Rule</w:t>
            </w:r>
          </w:p>
        </w:tc>
        <w:tc>
          <w:tcPr>
            <w:tcW w:type="dxa" w:w="7200"/>
            <w:vAlign w:val="top"/>
            <w:shd w:fill="D9EAF7"/>
          </w:tcPr>
          <w:p>
            <w:r/>
            <w:r>
              <w:rPr>
                <w:b/>
                <w:sz w:val="17"/>
              </w:rPr>
              <w:t>Decision</w:t>
            </w:r>
          </w:p>
        </w:tc>
      </w:tr>
      <w:tr>
        <w:tc>
          <w:tcPr>
            <w:tcW w:type="dxa" w:w="3600"/>
            <w:vAlign w:val="top"/>
          </w:tcPr>
          <w:p>
            <w:r/>
            <w:r>
              <w:rPr>
                <w:b w:val="0"/>
                <w:sz w:val="17"/>
              </w:rPr>
              <w:t>Parent values may be read by child branches</w:t>
            </w:r>
          </w:p>
        </w:tc>
        <w:tc>
          <w:tcPr>
            <w:tcW w:type="dxa" w:w="7200"/>
            <w:vAlign w:val="top"/>
          </w:tcPr>
          <w:p>
            <w:r/>
            <w:r>
              <w:rPr>
                <w:b w:val="0"/>
                <w:sz w:val="17"/>
              </w:rPr>
              <w:t>Allowed unless mutable aliasing or policy restriction is detected.</w:t>
            </w:r>
          </w:p>
        </w:tc>
      </w:tr>
      <w:tr>
        <w:tc>
          <w:tcPr>
            <w:tcW w:type="dxa" w:w="3600"/>
            <w:vAlign w:val="top"/>
          </w:tcPr>
          <w:p>
            <w:r/>
            <w:r>
              <w:rPr>
                <w:b w:val="0"/>
                <w:sz w:val="17"/>
              </w:rPr>
              <w:t>Sibling branch values may not be directly read</w:t>
            </w:r>
          </w:p>
        </w:tc>
        <w:tc>
          <w:tcPr>
            <w:tcW w:type="dxa" w:w="7200"/>
            <w:vAlign w:val="top"/>
          </w:tcPr>
          <w:p>
            <w:r/>
            <w:r>
              <w:rPr>
                <w:b w:val="0"/>
                <w:sz w:val="17"/>
              </w:rPr>
              <w:t>Invalid unless the value is sealed, exported, or merged.</w:t>
            </w:r>
          </w:p>
        </w:tc>
      </w:tr>
      <w:tr>
        <w:tc>
          <w:tcPr>
            <w:tcW w:type="dxa" w:w="3600"/>
            <w:vAlign w:val="top"/>
          </w:tcPr>
          <w:p>
            <w:r/>
            <w:r>
              <w:rPr>
                <w:b w:val="0"/>
                <w:sz w:val="17"/>
              </w:rPr>
              <w:t>Commits require audited state when policy is active</w:t>
            </w:r>
          </w:p>
        </w:tc>
        <w:tc>
          <w:tcPr>
            <w:tcW w:type="dxa" w:w="7200"/>
            <w:vAlign w:val="top"/>
          </w:tcPr>
          <w:p>
            <w:r/>
            <w:r>
              <w:rPr>
                <w:b w:val="0"/>
                <w:sz w:val="17"/>
              </w:rPr>
              <w:t>S.COMMIT must consume an audit token covering the exact subject.</w:t>
            </w:r>
          </w:p>
        </w:tc>
      </w:tr>
      <w:tr>
        <w:tc>
          <w:tcPr>
            <w:tcW w:type="dxa" w:w="3600"/>
            <w:vAlign w:val="top"/>
          </w:tcPr>
          <w:p>
            <w:r/>
            <w:r>
              <w:rPr>
                <w:b w:val="0"/>
                <w:sz w:val="17"/>
              </w:rPr>
              <w:t>Rollback expires descendant-only tokens</w:t>
            </w:r>
          </w:p>
        </w:tc>
        <w:tc>
          <w:tcPr>
            <w:tcW w:type="dxa" w:w="7200"/>
            <w:vAlign w:val="top"/>
          </w:tcPr>
          <w:p>
            <w:r/>
            <w:r>
              <w:rPr>
                <w:b w:val="0"/>
                <w:sz w:val="17"/>
              </w:rPr>
              <w:t>Audit tokens, topology handles, tensor handles, and quantum handles from discarded futures become EXPIRED.</w:t>
            </w:r>
          </w:p>
        </w:tc>
      </w:tr>
      <w:tr>
        <w:tc>
          <w:tcPr>
            <w:tcW w:type="dxa" w:w="3600"/>
            <w:vAlign w:val="top"/>
          </w:tcPr>
          <w:p>
            <w:r/>
            <w:r>
              <w:rPr>
                <w:b w:val="0"/>
                <w:sz w:val="17"/>
              </w:rPr>
              <w:t>Merge creates new state identity</w:t>
            </w:r>
          </w:p>
        </w:tc>
        <w:tc>
          <w:tcPr>
            <w:tcW w:type="dxa" w:w="7200"/>
            <w:vAlign w:val="top"/>
          </w:tcPr>
          <w:p>
            <w:r/>
            <w:r>
              <w:rPr>
                <w:b w:val="0"/>
                <w:sz w:val="17"/>
              </w:rPr>
              <w:t>Merged state receives a new state token and is not identical to either input branch.</w:t>
            </w:r>
          </w:p>
        </w:tc>
      </w:tr>
      <w:tr>
        <w:tc>
          <w:tcPr>
            <w:tcW w:type="dxa" w:w="3600"/>
            <w:vAlign w:val="top"/>
          </w:tcPr>
          <w:p>
            <w:r/>
            <w:r>
              <w:rPr>
                <w:b w:val="0"/>
                <w:sz w:val="17"/>
              </w:rPr>
              <w:t>Quantum measurement collapses quantum handle</w:t>
            </w:r>
          </w:p>
        </w:tc>
        <w:tc>
          <w:tcPr>
            <w:tcW w:type="dxa" w:w="7200"/>
            <w:vAlign w:val="top"/>
          </w:tcPr>
          <w:p>
            <w:r/>
            <w:r>
              <w:rPr>
                <w:b w:val="0"/>
                <w:sz w:val="17"/>
              </w:rPr>
              <w:t>Q.QMEASURE marks the q handle collapsed unless QSYNC/QSTATE creates a valid successor.</w:t>
            </w:r>
          </w:p>
        </w:tc>
      </w:tr>
      <w:tr>
        <w:tc>
          <w:tcPr>
            <w:tcW w:type="dxa" w:w="3600"/>
            <w:vAlign w:val="top"/>
          </w:tcPr>
          <w:p>
            <w:r/>
            <w:r>
              <w:rPr>
                <w:b w:val="0"/>
                <w:sz w:val="17"/>
              </w:rPr>
              <w:t>Topology handles are context-bound</w:t>
            </w:r>
          </w:p>
        </w:tc>
        <w:tc>
          <w:tcPr>
            <w:tcW w:type="dxa" w:w="7200"/>
            <w:vAlign w:val="top"/>
          </w:tcPr>
          <w:p>
            <w:r/>
            <w:r>
              <w:rPr>
                <w:b w:val="0"/>
                <w:sz w:val="17"/>
              </w:rPr>
              <w:t>Route/path handles expire if topology, thermal map, or privilege context changes.</w:t>
            </w:r>
          </w:p>
        </w:tc>
      </w:tr>
      <w:tr>
        <w:tc>
          <w:tcPr>
            <w:tcW w:type="dxa" w:w="3600"/>
            <w:vAlign w:val="top"/>
          </w:tcPr>
          <w:p>
            <w:r/>
            <w:r>
              <w:rPr>
                <w:b w:val="0"/>
                <w:sz w:val="17"/>
              </w:rPr>
              <w:t>Strict numeric mode requires proof</w:t>
            </w:r>
          </w:p>
        </w:tc>
        <w:tc>
          <w:tcPr>
            <w:tcW w:type="dxa" w:w="7200"/>
            <w:vAlign w:val="top"/>
          </w:tcPr>
          <w:p>
            <w:r/>
            <w:r>
              <w:rPr>
                <w:b w:val="0"/>
                <w:sz w:val="17"/>
              </w:rPr>
              <w:t>FP/tensor/decimal results must carry FPERR/DEC validation before commit or policy-sensitive use.</w:t>
            </w:r>
          </w:p>
        </w:tc>
      </w:tr>
    </w:tbl>
    <w:p/>
    <w:p>
      <w:pPr>
        <w:pStyle w:val="Heading1"/>
      </w:pPr>
      <w:r>
        <w:t>11. Semantic-Lowering Diagnostics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top"/>
            <w:shd w:fill="D9EAF7"/>
          </w:tcPr>
          <w:p>
            <w:r/>
            <w:r>
              <w:rPr>
                <w:b/>
                <w:sz w:val="17"/>
              </w:rPr>
              <w:t>Code</w:t>
            </w:r>
          </w:p>
        </w:tc>
        <w:tc>
          <w:tcPr>
            <w:tcW w:type="dxa" w:w="3456"/>
            <w:vAlign w:val="top"/>
            <w:shd w:fill="D9EAF7"/>
          </w:tcPr>
          <w:p>
            <w:r/>
            <w:r>
              <w:rPr>
                <w:b/>
                <w:sz w:val="17"/>
              </w:rPr>
              <w:t>Name</w:t>
            </w:r>
          </w:p>
        </w:tc>
        <w:tc>
          <w:tcPr>
            <w:tcW w:type="dxa" w:w="6336"/>
            <w:vAlign w:val="top"/>
            <w:shd w:fill="D9EAF7"/>
          </w:tcPr>
          <w:p>
            <w:r/>
            <w:r>
              <w:rPr>
                <w:b/>
                <w:sz w:val="17"/>
              </w:rPr>
              <w:t>Meaning</w:t>
            </w:r>
          </w:p>
        </w:tc>
      </w:tr>
      <w:tr>
        <w:tc>
          <w:tcPr>
            <w:tcW w:type="dxa" w:w="1152"/>
            <w:vAlign w:val="top"/>
          </w:tcPr>
          <w:p>
            <w:r/>
            <w:r>
              <w:rPr>
                <w:b w:val="0"/>
                <w:sz w:val="17"/>
              </w:rPr>
              <w:t>E0021</w:t>
            </w:r>
          </w:p>
        </w:tc>
        <w:tc>
          <w:tcPr>
            <w:tcW w:type="dxa" w:w="3456"/>
            <w:vAlign w:val="top"/>
          </w:tcPr>
          <w:p>
            <w:r/>
            <w:r>
              <w:rPr>
                <w:b w:val="0"/>
                <w:sz w:val="17"/>
              </w:rPr>
              <w:t>INVALID_BRANCH_VALUE_USE</w:t>
            </w:r>
          </w:p>
        </w:tc>
        <w:tc>
          <w:tcPr>
            <w:tcW w:type="dxa" w:w="6336"/>
            <w:vAlign w:val="top"/>
          </w:tcPr>
          <w:p>
            <w:r/>
            <w:r>
              <w:rPr>
                <w:b w:val="0"/>
                <w:sz w:val="17"/>
              </w:rPr>
              <w:t>Value from sibling branch used without merge/export/seal.</w:t>
            </w:r>
          </w:p>
        </w:tc>
      </w:tr>
      <w:tr>
        <w:tc>
          <w:tcPr>
            <w:tcW w:type="dxa" w:w="1152"/>
            <w:vAlign w:val="top"/>
          </w:tcPr>
          <w:p>
            <w:r/>
            <w:r>
              <w:rPr>
                <w:b w:val="0"/>
                <w:sz w:val="17"/>
              </w:rPr>
              <w:t>E0022</w:t>
            </w:r>
          </w:p>
        </w:tc>
        <w:tc>
          <w:tcPr>
            <w:tcW w:type="dxa" w:w="3456"/>
            <w:vAlign w:val="top"/>
          </w:tcPr>
          <w:p>
            <w:r/>
            <w:r>
              <w:rPr>
                <w:b w:val="0"/>
                <w:sz w:val="17"/>
              </w:rPr>
              <w:t>EXPIRED_AUDIT_TOKEN</w:t>
            </w:r>
          </w:p>
        </w:tc>
        <w:tc>
          <w:tcPr>
            <w:tcW w:type="dxa" w:w="6336"/>
            <w:vAlign w:val="top"/>
          </w:tcPr>
          <w:p>
            <w:r/>
            <w:r>
              <w:rPr>
                <w:b w:val="0"/>
                <w:sz w:val="17"/>
              </w:rPr>
              <w:t>Audit token used after subject state changed.</w:t>
            </w:r>
          </w:p>
        </w:tc>
      </w:tr>
      <w:tr>
        <w:tc>
          <w:tcPr>
            <w:tcW w:type="dxa" w:w="1152"/>
            <w:vAlign w:val="top"/>
          </w:tcPr>
          <w:p>
            <w:r/>
            <w:r>
              <w:rPr>
                <w:b w:val="0"/>
                <w:sz w:val="17"/>
              </w:rPr>
              <w:t>E0023</w:t>
            </w:r>
          </w:p>
        </w:tc>
        <w:tc>
          <w:tcPr>
            <w:tcW w:type="dxa" w:w="3456"/>
            <w:vAlign w:val="top"/>
          </w:tcPr>
          <w:p>
            <w:r/>
            <w:r>
              <w:rPr>
                <w:b w:val="0"/>
                <w:sz w:val="17"/>
              </w:rPr>
              <w:t>COMMIT_SUBJECT_MISMATCH</w:t>
            </w:r>
          </w:p>
        </w:tc>
        <w:tc>
          <w:tcPr>
            <w:tcW w:type="dxa" w:w="6336"/>
            <w:vAlign w:val="top"/>
          </w:tcPr>
          <w:p>
            <w:r/>
            <w:r>
              <w:rPr>
                <w:b w:val="0"/>
                <w:sz w:val="17"/>
              </w:rPr>
              <w:t>Audit token does not cover committed state.</w:t>
            </w:r>
          </w:p>
        </w:tc>
      </w:tr>
      <w:tr>
        <w:tc>
          <w:tcPr>
            <w:tcW w:type="dxa" w:w="1152"/>
            <w:vAlign w:val="top"/>
          </w:tcPr>
          <w:p>
            <w:r/>
            <w:r>
              <w:rPr>
                <w:b w:val="0"/>
                <w:sz w:val="17"/>
              </w:rPr>
              <w:t>E0024</w:t>
            </w:r>
          </w:p>
        </w:tc>
        <w:tc>
          <w:tcPr>
            <w:tcW w:type="dxa" w:w="3456"/>
            <w:vAlign w:val="top"/>
          </w:tcPr>
          <w:p>
            <w:r/>
            <w:r>
              <w:rPr>
                <w:b w:val="0"/>
                <w:sz w:val="17"/>
              </w:rPr>
              <w:t>UNSAFE_ROLLBACK_TARGET</w:t>
            </w:r>
          </w:p>
        </w:tc>
        <w:tc>
          <w:tcPr>
            <w:tcW w:type="dxa" w:w="6336"/>
            <w:vAlign w:val="top"/>
          </w:tcPr>
          <w:p>
            <w:r/>
            <w:r>
              <w:rPr>
                <w:b w:val="0"/>
                <w:sz w:val="17"/>
              </w:rPr>
              <w:t>Rollback target invalid, unsealed, pruned, or unavailable.</w:t>
            </w:r>
          </w:p>
        </w:tc>
      </w:tr>
      <w:tr>
        <w:tc>
          <w:tcPr>
            <w:tcW w:type="dxa" w:w="1152"/>
            <w:vAlign w:val="top"/>
          </w:tcPr>
          <w:p>
            <w:r/>
            <w:r>
              <w:rPr>
                <w:b w:val="0"/>
                <w:sz w:val="17"/>
              </w:rPr>
              <w:t>E0025</w:t>
            </w:r>
          </w:p>
        </w:tc>
        <w:tc>
          <w:tcPr>
            <w:tcW w:type="dxa" w:w="3456"/>
            <w:vAlign w:val="top"/>
          </w:tcPr>
          <w:p>
            <w:r/>
            <w:r>
              <w:rPr>
                <w:b w:val="0"/>
                <w:sz w:val="17"/>
              </w:rPr>
              <w:t>MERGE_REQUIRES_SCORES</w:t>
            </w:r>
          </w:p>
        </w:tc>
        <w:tc>
          <w:tcPr>
            <w:tcW w:type="dxa" w:w="6336"/>
            <w:vAlign w:val="top"/>
          </w:tcPr>
          <w:p>
            <w:r/>
            <w:r>
              <w:rPr>
                <w:b w:val="0"/>
                <w:sz w:val="17"/>
              </w:rPr>
              <w:t>Merge/select rule requires scores but branches lack them.</w:t>
            </w:r>
          </w:p>
        </w:tc>
      </w:tr>
      <w:tr>
        <w:tc>
          <w:tcPr>
            <w:tcW w:type="dxa" w:w="1152"/>
            <w:vAlign w:val="top"/>
          </w:tcPr>
          <w:p>
            <w:r/>
            <w:r>
              <w:rPr>
                <w:b w:val="0"/>
                <w:sz w:val="17"/>
              </w:rPr>
              <w:t>E0026</w:t>
            </w:r>
          </w:p>
        </w:tc>
        <w:tc>
          <w:tcPr>
            <w:tcW w:type="dxa" w:w="3456"/>
            <w:vAlign w:val="top"/>
          </w:tcPr>
          <w:p>
            <w:r/>
            <w:r>
              <w:rPr>
                <w:b w:val="0"/>
                <w:sz w:val="17"/>
              </w:rPr>
              <w:t>STATE_ALIAS_CONFLICT</w:t>
            </w:r>
          </w:p>
        </w:tc>
        <w:tc>
          <w:tcPr>
            <w:tcW w:type="dxa" w:w="6336"/>
            <w:vAlign w:val="top"/>
          </w:tcPr>
          <w:p>
            <w:r/>
            <w:r>
              <w:rPr>
                <w:b w:val="0"/>
                <w:sz w:val="17"/>
              </w:rPr>
              <w:t>Mutable state alias crosses branch boundary unsafely.</w:t>
            </w:r>
          </w:p>
        </w:tc>
      </w:tr>
      <w:tr>
        <w:tc>
          <w:tcPr>
            <w:tcW w:type="dxa" w:w="1152"/>
            <w:vAlign w:val="top"/>
          </w:tcPr>
          <w:p>
            <w:r/>
            <w:r>
              <w:rPr>
                <w:b w:val="0"/>
                <w:sz w:val="17"/>
              </w:rPr>
              <w:t>E0027</w:t>
            </w:r>
          </w:p>
        </w:tc>
        <w:tc>
          <w:tcPr>
            <w:tcW w:type="dxa" w:w="3456"/>
            <w:vAlign w:val="top"/>
          </w:tcPr>
          <w:p>
            <w:r/>
            <w:r>
              <w:rPr>
                <w:b w:val="0"/>
                <w:sz w:val="17"/>
              </w:rPr>
              <w:t>TOPOLOGY_HANDLE_EXPIRED</w:t>
            </w:r>
          </w:p>
        </w:tc>
        <w:tc>
          <w:tcPr>
            <w:tcW w:type="dxa" w:w="6336"/>
            <w:vAlign w:val="top"/>
          </w:tcPr>
          <w:p>
            <w:r/>
            <w:r>
              <w:rPr>
                <w:b w:val="0"/>
                <w:sz w:val="17"/>
              </w:rPr>
              <w:t>Route/path handle used after topology context changed.</w:t>
            </w:r>
          </w:p>
        </w:tc>
      </w:tr>
      <w:tr>
        <w:tc>
          <w:tcPr>
            <w:tcW w:type="dxa" w:w="1152"/>
            <w:vAlign w:val="top"/>
          </w:tcPr>
          <w:p>
            <w:r/>
            <w:r>
              <w:rPr>
                <w:b w:val="0"/>
                <w:sz w:val="17"/>
              </w:rPr>
              <w:t>E0028</w:t>
            </w:r>
          </w:p>
        </w:tc>
        <w:tc>
          <w:tcPr>
            <w:tcW w:type="dxa" w:w="3456"/>
            <w:vAlign w:val="top"/>
          </w:tcPr>
          <w:p>
            <w:r/>
            <w:r>
              <w:rPr>
                <w:b w:val="0"/>
                <w:sz w:val="17"/>
              </w:rPr>
              <w:t>QUANTUM_HANDLE_COLLAPSED</w:t>
            </w:r>
          </w:p>
        </w:tc>
        <w:tc>
          <w:tcPr>
            <w:tcW w:type="dxa" w:w="6336"/>
            <w:vAlign w:val="top"/>
          </w:tcPr>
          <w:p>
            <w:r/>
            <w:r>
              <w:rPr>
                <w:b w:val="0"/>
                <w:sz w:val="17"/>
              </w:rPr>
              <w:t>Quantum handle used after measurement/collapse.</w:t>
            </w:r>
          </w:p>
        </w:tc>
      </w:tr>
      <w:tr>
        <w:tc>
          <w:tcPr>
            <w:tcW w:type="dxa" w:w="1152"/>
            <w:vAlign w:val="top"/>
          </w:tcPr>
          <w:p>
            <w:r/>
            <w:r>
              <w:rPr>
                <w:b w:val="0"/>
                <w:sz w:val="17"/>
              </w:rPr>
              <w:t>E0029</w:t>
            </w:r>
          </w:p>
        </w:tc>
        <w:tc>
          <w:tcPr>
            <w:tcW w:type="dxa" w:w="3456"/>
            <w:vAlign w:val="top"/>
          </w:tcPr>
          <w:p>
            <w:r/>
            <w:r>
              <w:rPr>
                <w:b w:val="0"/>
                <w:sz w:val="17"/>
              </w:rPr>
              <w:t>NUMERIC_PROOF_MISSING</w:t>
            </w:r>
          </w:p>
        </w:tc>
        <w:tc>
          <w:tcPr>
            <w:tcW w:type="dxa" w:w="6336"/>
            <w:vAlign w:val="top"/>
          </w:tcPr>
          <w:p>
            <w:r/>
            <w:r>
              <w:rPr>
                <w:b w:val="0"/>
                <w:sz w:val="17"/>
              </w:rPr>
              <w:t>Strict numeric mode requires FPERR/DEC validation.</w:t>
            </w:r>
          </w:p>
        </w:tc>
      </w:tr>
      <w:tr>
        <w:tc>
          <w:tcPr>
            <w:tcW w:type="dxa" w:w="1152"/>
            <w:vAlign w:val="top"/>
          </w:tcPr>
          <w:p>
            <w:r/>
            <w:r>
              <w:rPr>
                <w:b w:val="0"/>
                <w:sz w:val="17"/>
              </w:rPr>
              <w:t>E0030</w:t>
            </w:r>
          </w:p>
        </w:tc>
        <w:tc>
          <w:tcPr>
            <w:tcW w:type="dxa" w:w="3456"/>
            <w:vAlign w:val="top"/>
          </w:tcPr>
          <w:p>
            <w:r/>
            <w:r>
              <w:rPr>
                <w:b w:val="0"/>
                <w:sz w:val="17"/>
              </w:rPr>
              <w:t>POLICY_CONTEXT_MISMATCH</w:t>
            </w:r>
          </w:p>
        </w:tc>
        <w:tc>
          <w:tcPr>
            <w:tcW w:type="dxa" w:w="6336"/>
            <w:vAlign w:val="top"/>
          </w:tcPr>
          <w:p>
            <w:r/>
            <w:r>
              <w:rPr>
                <w:b w:val="0"/>
                <w:sz w:val="17"/>
              </w:rPr>
              <w:t>Policy/audit token does not apply to current privilege/domain/context.</w:t>
            </w:r>
          </w:p>
        </w:tc>
      </w:tr>
      <w:tr>
        <w:tc>
          <w:tcPr>
            <w:tcW w:type="dxa" w:w="1152"/>
            <w:vAlign w:val="top"/>
          </w:tcPr>
          <w:p>
            <w:r/>
            <w:r>
              <w:rPr>
                <w:b w:val="0"/>
                <w:sz w:val="17"/>
              </w:rPr>
              <w:t>W1101</w:t>
            </w:r>
          </w:p>
        </w:tc>
        <w:tc>
          <w:tcPr>
            <w:tcW w:type="dxa" w:w="3456"/>
            <w:vAlign w:val="top"/>
          </w:tcPr>
          <w:p>
            <w:r/>
            <w:r>
              <w:rPr>
                <w:b w:val="0"/>
                <w:sz w:val="17"/>
              </w:rPr>
              <w:t>BRANCH_VALUE_IMPORTED</w:t>
            </w:r>
          </w:p>
        </w:tc>
        <w:tc>
          <w:tcPr>
            <w:tcW w:type="dxa" w:w="6336"/>
            <w:vAlign w:val="top"/>
          </w:tcPr>
          <w:p>
            <w:r/>
            <w:r>
              <w:rPr>
                <w:b w:val="0"/>
                <w:sz w:val="17"/>
              </w:rPr>
              <w:t>Parent value imported into branch; safe but tracked.</w:t>
            </w:r>
          </w:p>
        </w:tc>
      </w:tr>
      <w:tr>
        <w:tc>
          <w:tcPr>
            <w:tcW w:type="dxa" w:w="1152"/>
            <w:vAlign w:val="top"/>
          </w:tcPr>
          <w:p>
            <w:r/>
            <w:r>
              <w:rPr>
                <w:b w:val="0"/>
                <w:sz w:val="17"/>
              </w:rPr>
              <w:t>W1102</w:t>
            </w:r>
          </w:p>
        </w:tc>
        <w:tc>
          <w:tcPr>
            <w:tcW w:type="dxa" w:w="3456"/>
            <w:vAlign w:val="top"/>
          </w:tcPr>
          <w:p>
            <w:r/>
            <w:r>
              <w:rPr>
                <w:b w:val="0"/>
                <w:sz w:val="17"/>
              </w:rPr>
              <w:t>UNSEALED_BRANCH_OUTPUT</w:t>
            </w:r>
          </w:p>
        </w:tc>
        <w:tc>
          <w:tcPr>
            <w:tcW w:type="dxa" w:w="6336"/>
            <w:vAlign w:val="top"/>
          </w:tcPr>
          <w:p>
            <w:r/>
            <w:r>
              <w:rPr>
                <w:b w:val="0"/>
                <w:sz w:val="17"/>
              </w:rPr>
              <w:t>Branch output is used in a nonlocal context without sealing.</w:t>
            </w:r>
          </w:p>
        </w:tc>
      </w:tr>
      <w:tr>
        <w:tc>
          <w:tcPr>
            <w:tcW w:type="dxa" w:w="1152"/>
            <w:vAlign w:val="top"/>
          </w:tcPr>
          <w:p>
            <w:r/>
            <w:r>
              <w:rPr>
                <w:b w:val="0"/>
                <w:sz w:val="17"/>
              </w:rPr>
              <w:t>W1103</w:t>
            </w:r>
          </w:p>
        </w:tc>
        <w:tc>
          <w:tcPr>
            <w:tcW w:type="dxa" w:w="3456"/>
            <w:vAlign w:val="top"/>
          </w:tcPr>
          <w:p>
            <w:r/>
            <w:r>
              <w:rPr>
                <w:b w:val="0"/>
                <w:sz w:val="17"/>
              </w:rPr>
              <w:t>MERGE_POLICY_DEFAULTED</w:t>
            </w:r>
          </w:p>
        </w:tc>
        <w:tc>
          <w:tcPr>
            <w:tcW w:type="dxa" w:w="6336"/>
            <w:vAlign w:val="top"/>
          </w:tcPr>
          <w:p>
            <w:r/>
            <w:r>
              <w:rPr>
                <w:b w:val="0"/>
                <w:sz w:val="17"/>
              </w:rPr>
              <w:t>Merge used default selection policy; explicit policy recommended.</w:t>
            </w:r>
          </w:p>
        </w:tc>
      </w:tr>
      <w:tr>
        <w:tc>
          <w:tcPr>
            <w:tcW w:type="dxa" w:w="1152"/>
            <w:vAlign w:val="top"/>
          </w:tcPr>
          <w:p>
            <w:r/>
            <w:r>
              <w:rPr>
                <w:b w:val="0"/>
                <w:sz w:val="17"/>
              </w:rPr>
              <w:t>W1104</w:t>
            </w:r>
          </w:p>
        </w:tc>
        <w:tc>
          <w:tcPr>
            <w:tcW w:type="dxa" w:w="3456"/>
            <w:vAlign w:val="top"/>
          </w:tcPr>
          <w:p>
            <w:r/>
            <w:r>
              <w:rPr>
                <w:b w:val="0"/>
                <w:sz w:val="17"/>
              </w:rPr>
              <w:t>AUDIT_TOKEN_SHORT_LIVED</w:t>
            </w:r>
          </w:p>
        </w:tc>
        <w:tc>
          <w:tcPr>
            <w:tcW w:type="dxa" w:w="6336"/>
            <w:vAlign w:val="top"/>
          </w:tcPr>
          <w:p>
            <w:r/>
            <w:r>
              <w:rPr>
                <w:b w:val="0"/>
                <w:sz w:val="17"/>
              </w:rPr>
              <w:t>Audit token will expire after the next state mutation.</w:t>
            </w:r>
          </w:p>
        </w:tc>
      </w:tr>
    </w:tbl>
    <w:p/>
    <w:p>
      <w:pPr>
        <w:pStyle w:val="Heading1"/>
      </w:pPr>
      <w:r>
        <w:t>12. .nvir Canonical JSON Schema v0.2</w:t>
      </w:r>
    </w:p>
    <w:p>
      <w:r>
        <w:t>NVIR v0.2 is a canonical JSON representation. It may later be encoded into compact binary NVOBJ sections, but the JSON form is the reference format for testing, debugging, tracing, and early NVVM execution.</w:t>
      </w:r>
    </w:p>
    <w:p>
      <w:pPr>
        <w:pStyle w:val="CodeBlock"/>
      </w:pPr>
      <w:r>
        <w:rPr>
          <w:rFonts w:ascii="Consolas" w:hAnsi="Consolas" w:eastAsia="Consolas"/>
          <w:sz w:val="16"/>
        </w:rPr>
        <w:t>{</w:t>
        <w:br/>
        <w:t xml:space="preserve">  "nvir_version": "0.2",</w:t>
        <w:br/>
        <w:t xml:space="preserve">  "module": "example",</w:t>
        <w:br/>
        <w:t xml:space="preserve">  "arch": "NVISC-v0.1",</w:t>
        <w:br/>
        <w:t xml:space="preserve">  "representation": "VSSA",</w:t>
        <w:br/>
        <w:t xml:space="preserve">  "features": ["basic", "state", "rsm", "aegis"],</w:t>
        <w:br/>
        <w:t xml:space="preserve">  "entry": "main",</w:t>
        <w:br/>
        <w:t xml:space="preserve">  "sections": {},</w:t>
        <w:br/>
        <w:t xml:space="preserve">  "symbols": [],</w:t>
        <w:br/>
        <w:t xml:space="preserve">  "types": {},</w:t>
        <w:br/>
        <w:t xml:space="preserve">  "policies": [],</w:t>
        <w:br/>
        <w:t xml:space="preserve">  "topologies": [],</w:t>
        <w:br/>
        <w:t xml:space="preserve">  "state_graph": {</w:t>
        <w:br/>
        <w:t xml:space="preserve">    "branches": [],</w:t>
        <w:br/>
        <w:t xml:space="preserve">    "commits": [],</w:t>
        <w:br/>
        <w:t xml:space="preserve">    "snapshots": [],</w:t>
        <w:br/>
        <w:t xml:space="preserve">    "rollback_points": [],</w:t>
        <w:br/>
        <w:t xml:space="preserve">    "merges": []</w:t>
        <w:br/>
        <w:t xml:space="preserve">  },</w:t>
        <w:br/>
        <w:t xml:space="preserve">  "values": [],</w:t>
        <w:br/>
        <w:t xml:space="preserve">  "tokens": {</w:t>
        <w:br/>
        <w:t xml:space="preserve">    "state_tokens": [],</w:t>
        <w:br/>
        <w:t xml:space="preserve">    "branch_tokens": [],</w:t>
        <w:br/>
        <w:t xml:space="preserve">    "audit_tokens": [],</w:t>
        <w:br/>
        <w:t xml:space="preserve">    "memory_tokens": [],</w:t>
        <w:br/>
        <w:t xml:space="preserve">    "topology_tokens": [],</w:t>
        <w:br/>
        <w:t xml:space="preserve">    "quantum_tokens": []</w:t>
        <w:br/>
        <w:t xml:space="preserve">  },</w:t>
        <w:br/>
        <w:t xml:space="preserve">  "instructions": [],</w:t>
        <w:br/>
        <w:t xml:space="preserve">  "edges": [],</w:t>
        <w:br/>
        <w:t xml:space="preserve">  "diagnostics": [],</w:t>
        <w:br/>
        <w:t xml:space="preserve">  "debug": {}</w:t>
        <w:br/>
        <w: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D9EAF7"/>
          </w:tcPr>
          <w:p>
            <w:r/>
            <w:r>
              <w:rPr>
                <w:b/>
                <w:sz w:val="17"/>
              </w:rPr>
              <w:t>Top-level field</w:t>
            </w:r>
          </w:p>
        </w:tc>
        <w:tc>
          <w:tcPr>
            <w:tcW w:type="dxa" w:w="1440"/>
            <w:vAlign w:val="top"/>
            <w:shd w:fill="D9EAF7"/>
          </w:tcPr>
          <w:p>
            <w:r/>
            <w:r>
              <w:rPr>
                <w:b/>
                <w:sz w:val="17"/>
              </w:rPr>
              <w:t>Required</w:t>
            </w:r>
          </w:p>
        </w:tc>
        <w:tc>
          <w:tcPr>
            <w:tcW w:type="dxa" w:w="6768"/>
            <w:vAlign w:val="top"/>
            <w:shd w:fill="D9EAF7"/>
          </w:tcPr>
          <w:p>
            <w:r/>
            <w:r>
              <w:rPr>
                <w:b/>
                <w:sz w:val="17"/>
              </w:rPr>
              <w:t>Purpose</w:t>
            </w:r>
          </w:p>
        </w:tc>
      </w:tr>
      <w:tr>
        <w:tc>
          <w:tcPr>
            <w:tcW w:type="dxa" w:w="2592"/>
            <w:vAlign w:val="top"/>
          </w:tcPr>
          <w:p>
            <w:r/>
            <w:r>
              <w:rPr>
                <w:b w:val="0"/>
                <w:sz w:val="17"/>
              </w:rPr>
              <w:t>nvir_version</w:t>
            </w:r>
          </w:p>
        </w:tc>
        <w:tc>
          <w:tcPr>
            <w:tcW w:type="dxa" w:w="1440"/>
            <w:vAlign w:val="top"/>
          </w:tcPr>
          <w:p>
            <w:r/>
            <w:r>
              <w:rPr>
                <w:b w:val="0"/>
                <w:sz w:val="17"/>
              </w:rPr>
              <w:t>yes</w:t>
            </w:r>
          </w:p>
        </w:tc>
        <w:tc>
          <w:tcPr>
            <w:tcW w:type="dxa" w:w="6768"/>
            <w:vAlign w:val="top"/>
          </w:tcPr>
          <w:p>
            <w:r/>
            <w:r>
              <w:rPr>
                <w:b w:val="0"/>
                <w:sz w:val="17"/>
              </w:rPr>
              <w:t>Canonical NVIR schema version.</w:t>
            </w:r>
          </w:p>
        </w:tc>
      </w:tr>
      <w:tr>
        <w:tc>
          <w:tcPr>
            <w:tcW w:type="dxa" w:w="2592"/>
            <w:vAlign w:val="top"/>
          </w:tcPr>
          <w:p>
            <w:r/>
            <w:r>
              <w:rPr>
                <w:b w:val="0"/>
                <w:sz w:val="17"/>
              </w:rPr>
              <w:t>module</w:t>
            </w:r>
          </w:p>
        </w:tc>
        <w:tc>
          <w:tcPr>
            <w:tcW w:type="dxa" w:w="1440"/>
            <w:vAlign w:val="top"/>
          </w:tcPr>
          <w:p>
            <w:r/>
            <w:r>
              <w:rPr>
                <w:b w:val="0"/>
                <w:sz w:val="17"/>
              </w:rPr>
              <w:t>yes</w:t>
            </w:r>
          </w:p>
        </w:tc>
        <w:tc>
          <w:tcPr>
            <w:tcW w:type="dxa" w:w="6768"/>
            <w:vAlign w:val="top"/>
          </w:tcPr>
          <w:p>
            <w:r/>
            <w:r>
              <w:rPr>
                <w:b w:val="0"/>
                <w:sz w:val="17"/>
              </w:rPr>
              <w:t>Module name from .module.</w:t>
            </w:r>
          </w:p>
        </w:tc>
      </w:tr>
      <w:tr>
        <w:tc>
          <w:tcPr>
            <w:tcW w:type="dxa" w:w="2592"/>
            <w:vAlign w:val="top"/>
          </w:tcPr>
          <w:p>
            <w:r/>
            <w:r>
              <w:rPr>
                <w:b w:val="0"/>
                <w:sz w:val="17"/>
              </w:rPr>
              <w:t>arch</w:t>
            </w:r>
          </w:p>
        </w:tc>
        <w:tc>
          <w:tcPr>
            <w:tcW w:type="dxa" w:w="1440"/>
            <w:vAlign w:val="top"/>
          </w:tcPr>
          <w:p>
            <w:r/>
            <w:r>
              <w:rPr>
                <w:b w:val="0"/>
                <w:sz w:val="17"/>
              </w:rPr>
              <w:t>yes</w:t>
            </w:r>
          </w:p>
        </w:tc>
        <w:tc>
          <w:tcPr>
            <w:tcW w:type="dxa" w:w="6768"/>
            <w:vAlign w:val="top"/>
          </w:tcPr>
          <w:p>
            <w:r/>
            <w:r>
              <w:rPr>
                <w:b w:val="0"/>
                <w:sz w:val="17"/>
              </w:rPr>
              <w:t>Target architecture profile.</w:t>
            </w:r>
          </w:p>
        </w:tc>
      </w:tr>
      <w:tr>
        <w:tc>
          <w:tcPr>
            <w:tcW w:type="dxa" w:w="2592"/>
            <w:vAlign w:val="top"/>
          </w:tcPr>
          <w:p>
            <w:r/>
            <w:r>
              <w:rPr>
                <w:b w:val="0"/>
                <w:sz w:val="17"/>
              </w:rPr>
              <w:t>representation</w:t>
            </w:r>
          </w:p>
        </w:tc>
        <w:tc>
          <w:tcPr>
            <w:tcW w:type="dxa" w:w="1440"/>
            <w:vAlign w:val="top"/>
          </w:tcPr>
          <w:p>
            <w:r/>
            <w:r>
              <w:rPr>
                <w:b w:val="0"/>
                <w:sz w:val="17"/>
              </w:rPr>
              <w:t>yes</w:t>
            </w:r>
          </w:p>
        </w:tc>
        <w:tc>
          <w:tcPr>
            <w:tcW w:type="dxa" w:w="6768"/>
            <w:vAlign w:val="top"/>
          </w:tcPr>
          <w:p>
            <w:r/>
            <w:r>
              <w:rPr>
                <w:b w:val="0"/>
                <w:sz w:val="17"/>
              </w:rPr>
              <w:t>Must be VSSA for v0.2 semantic lowering.</w:t>
            </w:r>
          </w:p>
        </w:tc>
      </w:tr>
      <w:tr>
        <w:tc>
          <w:tcPr>
            <w:tcW w:type="dxa" w:w="2592"/>
            <w:vAlign w:val="top"/>
          </w:tcPr>
          <w:p>
            <w:r/>
            <w:r>
              <w:rPr>
                <w:b w:val="0"/>
                <w:sz w:val="17"/>
              </w:rPr>
              <w:t>features</w:t>
            </w:r>
          </w:p>
        </w:tc>
        <w:tc>
          <w:tcPr>
            <w:tcW w:type="dxa" w:w="1440"/>
            <w:vAlign w:val="top"/>
          </w:tcPr>
          <w:p>
            <w:r/>
            <w:r>
              <w:rPr>
                <w:b w:val="0"/>
                <w:sz w:val="17"/>
              </w:rPr>
              <w:t>yes</w:t>
            </w:r>
          </w:p>
        </w:tc>
        <w:tc>
          <w:tcPr>
            <w:tcW w:type="dxa" w:w="6768"/>
            <w:vAlign w:val="top"/>
          </w:tcPr>
          <w:p>
            <w:r/>
            <w:r>
              <w:rPr>
                <w:b w:val="0"/>
                <w:sz w:val="17"/>
              </w:rPr>
              <w:t>Required/optional feature set.</w:t>
            </w:r>
          </w:p>
        </w:tc>
      </w:tr>
      <w:tr>
        <w:tc>
          <w:tcPr>
            <w:tcW w:type="dxa" w:w="2592"/>
            <w:vAlign w:val="top"/>
          </w:tcPr>
          <w:p>
            <w:r/>
            <w:r>
              <w:rPr>
                <w:b w:val="0"/>
                <w:sz w:val="17"/>
              </w:rPr>
              <w:t>entry</w:t>
            </w:r>
          </w:p>
        </w:tc>
        <w:tc>
          <w:tcPr>
            <w:tcW w:type="dxa" w:w="1440"/>
            <w:vAlign w:val="top"/>
          </w:tcPr>
          <w:p>
            <w:r/>
            <w:r>
              <w:rPr>
                <w:b w:val="0"/>
                <w:sz w:val="17"/>
              </w:rPr>
              <w:t>yes</w:t>
            </w:r>
          </w:p>
        </w:tc>
        <w:tc>
          <w:tcPr>
            <w:tcW w:type="dxa" w:w="6768"/>
            <w:vAlign w:val="top"/>
          </w:tcPr>
          <w:p>
            <w:r/>
            <w:r>
              <w:rPr>
                <w:b w:val="0"/>
                <w:sz w:val="17"/>
              </w:rPr>
              <w:t>Entry symbol.</w:t>
            </w:r>
          </w:p>
        </w:tc>
      </w:tr>
      <w:tr>
        <w:tc>
          <w:tcPr>
            <w:tcW w:type="dxa" w:w="2592"/>
            <w:vAlign w:val="top"/>
          </w:tcPr>
          <w:p>
            <w:r/>
            <w:r>
              <w:rPr>
                <w:b w:val="0"/>
                <w:sz w:val="17"/>
              </w:rPr>
              <w:t>sections</w:t>
            </w:r>
          </w:p>
        </w:tc>
        <w:tc>
          <w:tcPr>
            <w:tcW w:type="dxa" w:w="1440"/>
            <w:vAlign w:val="top"/>
          </w:tcPr>
          <w:p>
            <w:r/>
            <w:r>
              <w:rPr>
                <w:b w:val="0"/>
                <w:sz w:val="17"/>
              </w:rPr>
              <w:t>yes</w:t>
            </w:r>
          </w:p>
        </w:tc>
        <w:tc>
          <w:tcPr>
            <w:tcW w:type="dxa" w:w="6768"/>
            <w:vAlign w:val="top"/>
          </w:tcPr>
          <w:p>
            <w:r/>
            <w:r>
              <w:rPr>
                <w:b w:val="0"/>
                <w:sz w:val="17"/>
              </w:rPr>
              <w:t>Text/data/state/policy/topology/tensor/quantum/debug sections.</w:t>
            </w:r>
          </w:p>
        </w:tc>
      </w:tr>
      <w:tr>
        <w:tc>
          <w:tcPr>
            <w:tcW w:type="dxa" w:w="2592"/>
            <w:vAlign w:val="top"/>
          </w:tcPr>
          <w:p>
            <w:r/>
            <w:r>
              <w:rPr>
                <w:b w:val="0"/>
                <w:sz w:val="17"/>
              </w:rPr>
              <w:t>symbols</w:t>
            </w:r>
          </w:p>
        </w:tc>
        <w:tc>
          <w:tcPr>
            <w:tcW w:type="dxa" w:w="1440"/>
            <w:vAlign w:val="top"/>
          </w:tcPr>
          <w:p>
            <w:r/>
            <w:r>
              <w:rPr>
                <w:b w:val="0"/>
                <w:sz w:val="17"/>
              </w:rPr>
              <w:t>yes</w:t>
            </w:r>
          </w:p>
        </w:tc>
        <w:tc>
          <w:tcPr>
            <w:tcW w:type="dxa" w:w="6768"/>
            <w:vAlign w:val="top"/>
          </w:tcPr>
          <w:p>
            <w:r/>
            <w:r>
              <w:rPr>
                <w:b w:val="0"/>
                <w:sz w:val="17"/>
              </w:rPr>
              <w:t>Symbol table.</w:t>
            </w:r>
          </w:p>
        </w:tc>
      </w:tr>
      <w:tr>
        <w:tc>
          <w:tcPr>
            <w:tcW w:type="dxa" w:w="2592"/>
            <w:vAlign w:val="top"/>
          </w:tcPr>
          <w:p>
            <w:r/>
            <w:r>
              <w:rPr>
                <w:b w:val="0"/>
                <w:sz w:val="17"/>
              </w:rPr>
              <w:t>types</w:t>
            </w:r>
          </w:p>
        </w:tc>
        <w:tc>
          <w:tcPr>
            <w:tcW w:type="dxa" w:w="1440"/>
            <w:vAlign w:val="top"/>
          </w:tcPr>
          <w:p>
            <w:r/>
            <w:r>
              <w:rPr>
                <w:b w:val="0"/>
                <w:sz w:val="17"/>
              </w:rPr>
              <w:t>yes</w:t>
            </w:r>
          </w:p>
        </w:tc>
        <w:tc>
          <w:tcPr>
            <w:tcW w:type="dxa" w:w="6768"/>
            <w:vAlign w:val="top"/>
          </w:tcPr>
          <w:p>
            <w:r/>
            <w:r>
              <w:rPr>
                <w:b w:val="0"/>
                <w:sz w:val="17"/>
              </w:rPr>
              <w:t>Type/domain metadata.</w:t>
            </w:r>
          </w:p>
        </w:tc>
      </w:tr>
      <w:tr>
        <w:tc>
          <w:tcPr>
            <w:tcW w:type="dxa" w:w="2592"/>
            <w:vAlign w:val="top"/>
          </w:tcPr>
          <w:p>
            <w:r/>
            <w:r>
              <w:rPr>
                <w:b w:val="0"/>
                <w:sz w:val="17"/>
              </w:rPr>
              <w:t>policies</w:t>
            </w:r>
          </w:p>
        </w:tc>
        <w:tc>
          <w:tcPr>
            <w:tcW w:type="dxa" w:w="1440"/>
            <w:vAlign w:val="top"/>
          </w:tcPr>
          <w:p>
            <w:r/>
            <w:r>
              <w:rPr>
                <w:b w:val="0"/>
                <w:sz w:val="17"/>
              </w:rPr>
              <w:t>yes</w:t>
            </w:r>
          </w:p>
        </w:tc>
        <w:tc>
          <w:tcPr>
            <w:tcW w:type="dxa" w:w="6768"/>
            <w:vAlign w:val="top"/>
          </w:tcPr>
          <w:p>
            <w:r/>
            <w:r>
              <w:rPr>
                <w:b w:val="0"/>
                <w:sz w:val="17"/>
              </w:rPr>
              <w:t>Aegis policy objects.</w:t>
            </w:r>
          </w:p>
        </w:tc>
      </w:tr>
      <w:tr>
        <w:tc>
          <w:tcPr>
            <w:tcW w:type="dxa" w:w="2592"/>
            <w:vAlign w:val="top"/>
          </w:tcPr>
          <w:p>
            <w:r/>
            <w:r>
              <w:rPr>
                <w:b w:val="0"/>
                <w:sz w:val="17"/>
              </w:rPr>
              <w:t>topologies</w:t>
            </w:r>
          </w:p>
        </w:tc>
        <w:tc>
          <w:tcPr>
            <w:tcW w:type="dxa" w:w="1440"/>
            <w:vAlign w:val="top"/>
          </w:tcPr>
          <w:p>
            <w:r/>
            <w:r>
              <w:rPr>
                <w:b w:val="0"/>
                <w:sz w:val="17"/>
              </w:rPr>
              <w:t>yes</w:t>
            </w:r>
          </w:p>
        </w:tc>
        <w:tc>
          <w:tcPr>
            <w:tcW w:type="dxa" w:w="6768"/>
            <w:vAlign w:val="top"/>
          </w:tcPr>
          <w:p>
            <w:r/>
            <w:r>
              <w:rPr>
                <w:b w:val="0"/>
                <w:sz w:val="17"/>
              </w:rPr>
              <w:t>Topology descriptors.</w:t>
            </w:r>
          </w:p>
        </w:tc>
      </w:tr>
      <w:tr>
        <w:tc>
          <w:tcPr>
            <w:tcW w:type="dxa" w:w="2592"/>
            <w:vAlign w:val="top"/>
          </w:tcPr>
          <w:p>
            <w:r/>
            <w:r>
              <w:rPr>
                <w:b w:val="0"/>
                <w:sz w:val="17"/>
              </w:rPr>
              <w:t>state_graph</w:t>
            </w:r>
          </w:p>
        </w:tc>
        <w:tc>
          <w:tcPr>
            <w:tcW w:type="dxa" w:w="1440"/>
            <w:vAlign w:val="top"/>
          </w:tcPr>
          <w:p>
            <w:r/>
            <w:r>
              <w:rPr>
                <w:b w:val="0"/>
                <w:sz w:val="17"/>
              </w:rPr>
              <w:t>yes</w:t>
            </w:r>
          </w:p>
        </w:tc>
        <w:tc>
          <w:tcPr>
            <w:tcW w:type="dxa" w:w="6768"/>
            <w:vAlign w:val="top"/>
          </w:tcPr>
          <w:p>
            <w:r/>
            <w:r>
              <w:rPr>
                <w:b w:val="0"/>
                <w:sz w:val="17"/>
              </w:rPr>
              <w:t>Branches, commits, snapshots, rollback points, merge nodes.</w:t>
            </w:r>
          </w:p>
        </w:tc>
      </w:tr>
      <w:tr>
        <w:tc>
          <w:tcPr>
            <w:tcW w:type="dxa" w:w="2592"/>
            <w:vAlign w:val="top"/>
          </w:tcPr>
          <w:p>
            <w:r/>
            <w:r>
              <w:rPr>
                <w:b w:val="0"/>
                <w:sz w:val="17"/>
              </w:rPr>
              <w:t>values</w:t>
            </w:r>
          </w:p>
        </w:tc>
        <w:tc>
          <w:tcPr>
            <w:tcW w:type="dxa" w:w="1440"/>
            <w:vAlign w:val="top"/>
          </w:tcPr>
          <w:p>
            <w:r/>
            <w:r>
              <w:rPr>
                <w:b w:val="0"/>
                <w:sz w:val="17"/>
              </w:rPr>
              <w:t>yes</w:t>
            </w:r>
          </w:p>
        </w:tc>
        <w:tc>
          <w:tcPr>
            <w:tcW w:type="dxa" w:w="6768"/>
            <w:vAlign w:val="top"/>
          </w:tcPr>
          <w:p>
            <w:r/>
            <w:r>
              <w:rPr>
                <w:b w:val="0"/>
                <w:sz w:val="17"/>
              </w:rPr>
              <w:t>VSSA values and safety classes.</w:t>
            </w:r>
          </w:p>
        </w:tc>
      </w:tr>
      <w:tr>
        <w:tc>
          <w:tcPr>
            <w:tcW w:type="dxa" w:w="2592"/>
            <w:vAlign w:val="top"/>
          </w:tcPr>
          <w:p>
            <w:r/>
            <w:r>
              <w:rPr>
                <w:b w:val="0"/>
                <w:sz w:val="17"/>
              </w:rPr>
              <w:t>tokens</w:t>
            </w:r>
          </w:p>
        </w:tc>
        <w:tc>
          <w:tcPr>
            <w:tcW w:type="dxa" w:w="1440"/>
            <w:vAlign w:val="top"/>
          </w:tcPr>
          <w:p>
            <w:r/>
            <w:r>
              <w:rPr>
                <w:b w:val="0"/>
                <w:sz w:val="17"/>
              </w:rPr>
              <w:t>yes</w:t>
            </w:r>
          </w:p>
        </w:tc>
        <w:tc>
          <w:tcPr>
            <w:tcW w:type="dxa" w:w="6768"/>
            <w:vAlign w:val="top"/>
          </w:tcPr>
          <w:p>
            <w:r/>
            <w:r>
              <w:rPr>
                <w:b w:val="0"/>
                <w:sz w:val="17"/>
              </w:rPr>
              <w:t>State/branch/audit/memory/topology/quantum tokens.</w:t>
            </w:r>
          </w:p>
        </w:tc>
      </w:tr>
      <w:tr>
        <w:tc>
          <w:tcPr>
            <w:tcW w:type="dxa" w:w="2592"/>
            <w:vAlign w:val="top"/>
          </w:tcPr>
          <w:p>
            <w:r/>
            <w:r>
              <w:rPr>
                <w:b w:val="0"/>
                <w:sz w:val="17"/>
              </w:rPr>
              <w:t>instructions</w:t>
            </w:r>
          </w:p>
        </w:tc>
        <w:tc>
          <w:tcPr>
            <w:tcW w:type="dxa" w:w="1440"/>
            <w:vAlign w:val="top"/>
          </w:tcPr>
          <w:p>
            <w:r/>
            <w:r>
              <w:rPr>
                <w:b w:val="0"/>
                <w:sz w:val="17"/>
              </w:rPr>
              <w:t>yes</w:t>
            </w:r>
          </w:p>
        </w:tc>
        <w:tc>
          <w:tcPr>
            <w:tcW w:type="dxa" w:w="6768"/>
            <w:vAlign w:val="top"/>
          </w:tcPr>
          <w:p>
            <w:r/>
            <w:r>
              <w:rPr>
                <w:b w:val="0"/>
                <w:sz w:val="17"/>
              </w:rPr>
              <w:t>Lowered instruction nodes.</w:t>
            </w:r>
          </w:p>
        </w:tc>
      </w:tr>
      <w:tr>
        <w:tc>
          <w:tcPr>
            <w:tcW w:type="dxa" w:w="2592"/>
            <w:vAlign w:val="top"/>
          </w:tcPr>
          <w:p>
            <w:r/>
            <w:r>
              <w:rPr>
                <w:b w:val="0"/>
                <w:sz w:val="17"/>
              </w:rPr>
              <w:t>edges</w:t>
            </w:r>
          </w:p>
        </w:tc>
        <w:tc>
          <w:tcPr>
            <w:tcW w:type="dxa" w:w="1440"/>
            <w:vAlign w:val="top"/>
          </w:tcPr>
          <w:p>
            <w:r/>
            <w:r>
              <w:rPr>
                <w:b w:val="0"/>
                <w:sz w:val="17"/>
              </w:rPr>
              <w:t>yes</w:t>
            </w:r>
          </w:p>
        </w:tc>
        <w:tc>
          <w:tcPr>
            <w:tcW w:type="dxa" w:w="6768"/>
            <w:vAlign w:val="top"/>
          </w:tcPr>
          <w:p>
            <w:r/>
            <w:r>
              <w:rPr>
                <w:b w:val="0"/>
                <w:sz w:val="17"/>
              </w:rPr>
              <w:t>Dependency graph edges.</w:t>
            </w:r>
          </w:p>
        </w:tc>
      </w:tr>
      <w:tr>
        <w:tc>
          <w:tcPr>
            <w:tcW w:type="dxa" w:w="2592"/>
            <w:vAlign w:val="top"/>
          </w:tcPr>
          <w:p>
            <w:r/>
            <w:r>
              <w:rPr>
                <w:b w:val="0"/>
                <w:sz w:val="17"/>
              </w:rPr>
              <w:t>diagnostics</w:t>
            </w:r>
          </w:p>
        </w:tc>
        <w:tc>
          <w:tcPr>
            <w:tcW w:type="dxa" w:w="1440"/>
            <w:vAlign w:val="top"/>
          </w:tcPr>
          <w:p>
            <w:r/>
            <w:r>
              <w:rPr>
                <w:b w:val="0"/>
                <w:sz w:val="17"/>
              </w:rPr>
              <w:t>yes</w:t>
            </w:r>
          </w:p>
        </w:tc>
        <w:tc>
          <w:tcPr>
            <w:tcW w:type="dxa" w:w="6768"/>
            <w:vAlign w:val="top"/>
          </w:tcPr>
          <w:p>
            <w:r/>
            <w:r>
              <w:rPr>
                <w:b w:val="0"/>
                <w:sz w:val="17"/>
              </w:rPr>
              <w:t>Errors, warnings, info from lowering.</w:t>
            </w:r>
          </w:p>
        </w:tc>
      </w:tr>
      <w:tr>
        <w:tc>
          <w:tcPr>
            <w:tcW w:type="dxa" w:w="2592"/>
            <w:vAlign w:val="top"/>
          </w:tcPr>
          <w:p>
            <w:r/>
            <w:r>
              <w:rPr>
                <w:b w:val="0"/>
                <w:sz w:val="17"/>
              </w:rPr>
              <w:t>debug</w:t>
            </w:r>
          </w:p>
        </w:tc>
        <w:tc>
          <w:tcPr>
            <w:tcW w:type="dxa" w:w="1440"/>
            <w:vAlign w:val="top"/>
          </w:tcPr>
          <w:p>
            <w:r/>
            <w:r>
              <w:rPr>
                <w:b w:val="0"/>
                <w:sz w:val="17"/>
              </w:rPr>
              <w:t>no</w:t>
            </w:r>
          </w:p>
        </w:tc>
        <w:tc>
          <w:tcPr>
            <w:tcW w:type="dxa" w:w="6768"/>
            <w:vAlign w:val="top"/>
          </w:tcPr>
          <w:p>
            <w:r/>
            <w:r>
              <w:rPr>
                <w:b w:val="0"/>
                <w:sz w:val="17"/>
              </w:rPr>
              <w:t>Source spans, comments, trace labels, line mappings.</w:t>
            </w:r>
          </w:p>
        </w:tc>
      </w:tr>
    </w:tbl>
    <w:p/>
    <w:p>
      <w:pPr>
        <w:pStyle w:val="Heading1"/>
      </w:pPr>
      <w:r>
        <w:t>13. End-to-End Lowering Example</w:t>
      </w:r>
    </w:p>
    <w:p>
      <w:pPr>
        <w:pStyle w:val="CodeBlock"/>
      </w:pPr>
      <w:r>
        <w:rPr>
          <w:rFonts w:ascii="Consolas" w:hAnsi="Consolas" w:eastAsia="Consolas"/>
          <w:sz w:val="16"/>
        </w:rPr>
        <w:t>Input NVASM:</w:t>
        <w:br/>
        <w:t>B.LOAD r1, [input]</w:t>
        <w:br/>
        <w:t>S.SNAP s0</w:t>
        <w:br/>
        <w:t>S.BRANCH @branch.a from s0</w:t>
        <w:br/>
        <w:t>S.CHECKOUT @branch.a</w:t>
        <w:br/>
        <w:t>B.ADD r2, r1, 10</w:t>
        <w:br/>
        <w:t>S.SCORE @branch.a, r2</w:t>
        <w:br/>
        <w:t>S.CHECKOUT s0</w:t>
        <w:br/>
        <w:t>S.BRANCH @branch.b from s0</w:t>
        <w:br/>
        <w:t>S.CHECKOUT @branch.b</w:t>
        <w:br/>
        <w:t>B.MUL r3, r1, 2</w:t>
        <w:br/>
        <w:t>S.SCORE @branch.b, r3</w:t>
        <w:br/>
        <w:t>S.RANK @branch.a, @branch.b</w:t>
        <w:br/>
        <w:t>S.SELECT BEST -&gt; s1</w:t>
        <w:br/>
        <w:t>A.AUDIT s1, @policy.safe_commit -&gt; p0</w:t>
        <w:br/>
        <w:t>@pred(p0)</w:t>
        <w:br/>
        <w:t>S.COMMIT s1</w:t>
      </w:r>
    </w:p>
    <w:p>
      <w:pPr>
        <w:pStyle w:val="CodeBlock"/>
      </w:pPr>
      <w:r>
        <w:rPr>
          <w:rFonts w:ascii="Consolas" w:hAnsi="Consolas" w:eastAsia="Consolas"/>
          <w:sz w:val="16"/>
        </w:rPr>
        <w:t>Lowered NVIR skeleton:</w:t>
        <w:br/>
        <w:t>{</w:t>
        <w:br/>
        <w:t xml:space="preserve">  "nvir_version": "0.2",</w:t>
        <w:br/>
        <w:t xml:space="preserve">  "module": "branch_score_demo",</w:t>
        <w:br/>
        <w:t xml:space="preserve">  "representation": "VSSA",</w:t>
        <w:br/>
        <w:t xml:space="preserve">  "instructions": [</w:t>
        <w:br/>
        <w:t xml:space="preserve">    {"id": 1, "op": "B.LOAD", "reads": ["@data.input"], "writes": ["%reg.r1#0@main"], "state_in": "%state#0@main", "state_out": "%state#1@main"},</w:t>
        <w:br/>
        <w:t xml:space="preserve">    {"id": 2, "op": "S.SNAP", "writes": ["s0"], "state_in": "%state#1@main", "state_out": "%state#2@main"},</w:t>
        <w:br/>
        <w:t xml:space="preserve">    {"id": 3, "op": "S.BRANCH", "branch_create": "@branch.a", "source_state": "s0", "state_out": "%state#0@branch.a"},</w:t>
        <w:br/>
        <w:t xml:space="preserve">    {"id": 4, "op": "B.ADD", "reads": ["%reg.r1#0@main", "literal:10"], "writes": ["%reg.r2#0@branch.a"], "state_out": "%state#1@branch.a"},</w:t>
        <w:br/>
        <w:t xml:space="preserve">    {"id": 5, "op": "S.SCORE", "branch": "@branch.a", "score": "%reg.r2#0@branch.a"},</w:t>
        <w:br/>
        <w:t xml:space="preserve">    {"id": 6, "op": "S.BRANCH", "branch_create": "@branch.b", "source_state": "s0", "state_out": "%state#0@branch.b"},</w:t>
        <w:br/>
        <w:t xml:space="preserve">    {"id": 7, "op": "B.MUL", "reads": ["%reg.r1#0@main", "literal:2"], "writes": ["%reg.r3#0@branch.b"], "state_out": "%state#1@branch.b"},</w:t>
        <w:br/>
        <w:t xml:space="preserve">    {"id": 8, "op": "S.SCORE", "branch": "@branch.b", "score": "%reg.r3#0@branch.b"},</w:t>
        <w:br/>
        <w:t xml:space="preserve">    {"id": 9, "op": "VPHI.SELECT", "selection_rule": "BEST", "inputs": ["%state#1@branch.a", "%state#1@branch.b"], "state_out": "%state#merged@main"},</w:t>
        <w:br/>
        <w:t xml:space="preserve">    {"id": 10, "op": "A.AUDIT", "subject": "s1", "policy": "@policy.safe_commit", "writes": ["%pred.p0#audit@main"], "produces": ["%audit_token#10"]},</w:t>
        <w:br/>
        <w:t xml:space="preserve">    {"id": 11, "op": "S.COMMIT", "subject": "s1", "guard": "%pred.p0#audit@main", "requires": ["%audit_token#10"], "state_out": "%state#committed@main"}</w:t>
        <w:br/>
        <w:t xml:space="preserve">  ]</w:t>
        <w:br/>
        <w:t>}</w:t>
      </w:r>
    </w:p>
    <w:p>
      <w:pPr>
        <w:pStyle w:val="Heading1"/>
      </w:pPr>
      <w:r>
        <w:t>14. Hardware Plan Alignment</w:t>
      </w:r>
    </w:p>
    <w:tbl>
      <w:tblPr>
        <w:tblStyle w:val="TableGrid"/>
        <w:tblW w:type="auto" w:w="0"/>
        <w:jc w:val="center"/>
        <w:tblLook w:firstColumn="1" w:firstRow="1" w:lastColumn="0" w:lastRow="0" w:noHBand="0" w:noVBand="1" w:val="04A0"/>
      </w:tblPr>
      <w:tblGrid>
        <w:gridCol w:w="5112"/>
        <w:gridCol w:w="5112"/>
      </w:tblGrid>
      <w:tr>
        <w:tc>
          <w:tcPr>
            <w:tcW w:type="dxa" w:w="3744"/>
            <w:vAlign w:val="top"/>
            <w:shd w:fill="D9EAF7"/>
          </w:tcPr>
          <w:p>
            <w:r/>
            <w:r>
              <w:rPr>
                <w:b/>
                <w:sz w:val="17"/>
              </w:rPr>
              <w:t>Hardware-plan need</w:t>
            </w:r>
          </w:p>
        </w:tc>
        <w:tc>
          <w:tcPr>
            <w:tcW w:type="dxa" w:w="7056"/>
            <w:vAlign w:val="top"/>
            <w:shd w:fill="D9EAF7"/>
          </w:tcPr>
          <w:p>
            <w:r/>
            <w:r>
              <w:rPr>
                <w:b/>
                <w:sz w:val="17"/>
              </w:rPr>
              <w:t>NVIR lowering support</w:t>
            </w:r>
          </w:p>
        </w:tc>
      </w:tr>
      <w:tr>
        <w:tc>
          <w:tcPr>
            <w:tcW w:type="dxa" w:w="3744"/>
            <w:vAlign w:val="top"/>
          </w:tcPr>
          <w:p>
            <w:r/>
            <w:r>
              <w:rPr>
                <w:b w:val="0"/>
                <w:sz w:val="17"/>
              </w:rPr>
              <w:t>Git-like reversible states</w:t>
            </w:r>
          </w:p>
        </w:tc>
        <w:tc>
          <w:tcPr>
            <w:tcW w:type="dxa" w:w="7056"/>
            <w:vAlign w:val="top"/>
          </w:tcPr>
          <w:p>
            <w:r/>
            <w:r>
              <w:rPr>
                <w:b w:val="0"/>
                <w:sz w:val="17"/>
              </w:rPr>
              <w:t>State tokens, branch tokens, rollback targets, VPHI merge nodes, state_graph.</w:t>
            </w:r>
          </w:p>
        </w:tc>
      </w:tr>
      <w:tr>
        <w:tc>
          <w:tcPr>
            <w:tcW w:type="dxa" w:w="3744"/>
            <w:vAlign w:val="top"/>
          </w:tcPr>
          <w:p>
            <w:r/>
            <w:r>
              <w:rPr>
                <w:b w:val="0"/>
                <w:sz w:val="17"/>
              </w:rPr>
              <w:t>Branch explosion control</w:t>
            </w:r>
          </w:p>
        </w:tc>
        <w:tc>
          <w:tcPr>
            <w:tcW w:type="dxa" w:w="7056"/>
            <w:vAlign w:val="top"/>
          </w:tcPr>
          <w:p>
            <w:r/>
            <w:r>
              <w:rPr>
                <w:b w:val="0"/>
                <w:sz w:val="17"/>
              </w:rPr>
              <w:t>Branch budgets, score/rank/select lowering, E0019/E0025 diagnostics.</w:t>
            </w:r>
          </w:p>
        </w:tc>
      </w:tr>
      <w:tr>
        <w:tc>
          <w:tcPr>
            <w:tcW w:type="dxa" w:w="3744"/>
            <w:vAlign w:val="top"/>
          </w:tcPr>
          <w:p>
            <w:r/>
            <w:r>
              <w:rPr>
                <w:b w:val="0"/>
                <w:sz w:val="17"/>
              </w:rPr>
              <w:t>More-than-binary logic</w:t>
            </w:r>
          </w:p>
        </w:tc>
        <w:tc>
          <w:tcPr>
            <w:tcW w:type="dxa" w:w="7056"/>
            <w:vAlign w:val="top"/>
          </w:tcPr>
          <w:p>
            <w:r/>
            <w:r>
              <w:rPr>
                <w:b w:val="0"/>
                <w:sz w:val="17"/>
              </w:rPr>
              <w:t>Domain-tagged VSSA values and M/MVL domain metadata.</w:t>
            </w:r>
          </w:p>
        </w:tc>
      </w:tr>
      <w:tr>
        <w:tc>
          <w:tcPr>
            <w:tcW w:type="dxa" w:w="3744"/>
            <w:vAlign w:val="top"/>
          </w:tcPr>
          <w:p>
            <w:r/>
            <w:r>
              <w:rPr>
                <w:b w:val="0"/>
                <w:sz w:val="17"/>
              </w:rPr>
              <w:t>3D/polyhedral routing</w:t>
            </w:r>
          </w:p>
        </w:tc>
        <w:tc>
          <w:tcPr>
            <w:tcW w:type="dxa" w:w="7056"/>
            <w:vAlign w:val="top"/>
          </w:tcPr>
          <w:p>
            <w:r/>
            <w:r>
              <w:rPr>
                <w:b w:val="0"/>
                <w:sz w:val="17"/>
              </w:rPr>
              <w:t>Topology tokens, route dependencies, topology handle expiry, route policy edges.</w:t>
            </w:r>
          </w:p>
        </w:tc>
      </w:tr>
      <w:tr>
        <w:tc>
          <w:tcPr>
            <w:tcW w:type="dxa" w:w="3744"/>
            <w:vAlign w:val="top"/>
          </w:tcPr>
          <w:p>
            <w:r/>
            <w:r>
              <w:rPr>
                <w:b w:val="0"/>
                <w:sz w:val="17"/>
              </w:rPr>
              <w:t>Aegis safeguard auditing</w:t>
            </w:r>
          </w:p>
        </w:tc>
        <w:tc>
          <w:tcPr>
            <w:tcW w:type="dxa" w:w="7056"/>
            <w:vAlign w:val="top"/>
          </w:tcPr>
          <w:p>
            <w:r/>
            <w:r>
              <w:rPr>
                <w:b w:val="0"/>
                <w:sz w:val="17"/>
              </w:rPr>
              <w:t>Audit tokens, audit dependency edges, commit subject matching, policy context checks.</w:t>
            </w:r>
          </w:p>
        </w:tc>
      </w:tr>
      <w:tr>
        <w:tc>
          <w:tcPr>
            <w:tcW w:type="dxa" w:w="3744"/>
            <w:vAlign w:val="top"/>
          </w:tcPr>
          <w:p>
            <w:r/>
            <w:r>
              <w:rPr>
                <w:b w:val="0"/>
                <w:sz w:val="17"/>
              </w:rPr>
              <w:t>Anti-cheat/privacy proof</w:t>
            </w:r>
          </w:p>
        </w:tc>
        <w:tc>
          <w:tcPr>
            <w:tcW w:type="dxa" w:w="7056"/>
            <w:vAlign w:val="top"/>
          </w:tcPr>
          <w:p>
            <w:r/>
            <w:r>
              <w:rPr>
                <w:b w:val="0"/>
                <w:sz w:val="17"/>
              </w:rPr>
              <w:t>Capability/proof tokens, minimal report artifacts, privilege and policy context validation.</w:t>
            </w:r>
          </w:p>
        </w:tc>
      </w:tr>
      <w:tr>
        <w:tc>
          <w:tcPr>
            <w:tcW w:type="dxa" w:w="3744"/>
            <w:vAlign w:val="top"/>
          </w:tcPr>
          <w:p>
            <w:r/>
            <w:r>
              <w:rPr>
                <w:b w:val="0"/>
                <w:sz w:val="17"/>
              </w:rPr>
              <w:t>Floating/decimal integrity</w:t>
            </w:r>
          </w:p>
        </w:tc>
        <w:tc>
          <w:tcPr>
            <w:tcW w:type="dxa" w:w="7056"/>
            <w:vAlign w:val="top"/>
          </w:tcPr>
          <w:p>
            <w:r/>
            <w:r>
              <w:rPr>
                <w:b w:val="0"/>
                <w:sz w:val="17"/>
              </w:rPr>
              <w:t>Numeric-integrity dependencies and E0029 proof-missing diagnostic.</w:t>
            </w:r>
          </w:p>
        </w:tc>
      </w:tr>
      <w:tr>
        <w:tc>
          <w:tcPr>
            <w:tcW w:type="dxa" w:w="3744"/>
            <w:vAlign w:val="top"/>
          </w:tcPr>
          <w:p>
            <w:r/>
            <w:r>
              <w:rPr>
                <w:b w:val="0"/>
                <w:sz w:val="17"/>
              </w:rPr>
              <w:t>Quantum-step integration</w:t>
            </w:r>
          </w:p>
        </w:tc>
        <w:tc>
          <w:tcPr>
            <w:tcW w:type="dxa" w:w="7056"/>
            <w:vAlign w:val="top"/>
          </w:tcPr>
          <w:p>
            <w:r/>
            <w:r>
              <w:rPr>
                <w:b w:val="0"/>
                <w:sz w:val="17"/>
              </w:rPr>
              <w:t>Quantum tokens, qmode validation, collapse handling, QSYNC boundaries.</w:t>
            </w:r>
          </w:p>
        </w:tc>
      </w:tr>
      <w:tr>
        <w:tc>
          <w:tcPr>
            <w:tcW w:type="dxa" w:w="3744"/>
            <w:vAlign w:val="top"/>
          </w:tcPr>
          <w:p>
            <w:r/>
            <w:r>
              <w:rPr>
                <w:b w:val="0"/>
                <w:sz w:val="17"/>
              </w:rPr>
              <w:t>Thermal-aware scheduling</w:t>
            </w:r>
          </w:p>
        </w:tc>
        <w:tc>
          <w:tcPr>
            <w:tcW w:type="dxa" w:w="7056"/>
            <w:vAlign w:val="top"/>
          </w:tcPr>
          <w:p>
            <w:r/>
            <w:r>
              <w:rPr>
                <w:b w:val="0"/>
                <w:sz w:val="17"/>
              </w:rPr>
              <w:t>Topology/thermal dependency edges and route handle invalidation after context changes.</w:t>
            </w:r>
          </w:p>
        </w:tc>
      </w:tr>
    </w:tbl>
    <w:p/>
    <w:p>
      <w:pPr>
        <w:pStyle w:val="Heading1"/>
      </w:pPr>
      <w:r>
        <w:t>15. Implementation Lock-In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top"/>
            <w:shd w:fill="D9EAF7"/>
          </w:tcPr>
          <w:p>
            <w:r/>
            <w:r>
              <w:rPr>
                <w:b/>
                <w:sz w:val="17"/>
              </w:rPr>
              <w:t>Status</w:t>
            </w:r>
          </w:p>
        </w:tc>
        <w:tc>
          <w:tcPr>
            <w:tcW w:type="dxa" w:w="3168"/>
            <w:vAlign w:val="top"/>
            <w:shd w:fill="D9EAF7"/>
          </w:tcPr>
          <w:p>
            <w:r/>
            <w:r>
              <w:rPr>
                <w:b/>
                <w:sz w:val="17"/>
              </w:rPr>
              <w:t>Item</w:t>
            </w:r>
          </w:p>
        </w:tc>
        <w:tc>
          <w:tcPr>
            <w:tcW w:type="dxa" w:w="6768"/>
            <w:vAlign w:val="top"/>
            <w:shd w:fill="D9EAF7"/>
          </w:tcPr>
          <w:p>
            <w:r/>
            <w:r>
              <w:rPr>
                <w:b/>
                <w:sz w:val="17"/>
              </w:rPr>
              <w:t>Filled definition</w:t>
            </w:r>
          </w:p>
        </w:tc>
      </w:tr>
      <w:tr>
        <w:tc>
          <w:tcPr>
            <w:tcW w:type="dxa" w:w="1152"/>
            <w:vAlign w:val="top"/>
          </w:tcPr>
          <w:p>
            <w:r/>
            <w:r>
              <w:rPr>
                <w:b w:val="0"/>
                <w:sz w:val="17"/>
              </w:rPr>
              <w:t>[x]</w:t>
            </w:r>
          </w:p>
        </w:tc>
        <w:tc>
          <w:tcPr>
            <w:tcW w:type="dxa" w:w="3168"/>
            <w:vAlign w:val="top"/>
          </w:tcPr>
          <w:p>
            <w:r/>
            <w:r>
              <w:rPr>
                <w:b w:val="0"/>
                <w:sz w:val="17"/>
              </w:rPr>
              <w:t>Semantic lowering pass</w:t>
            </w:r>
          </w:p>
        </w:tc>
        <w:tc>
          <w:tcPr>
            <w:tcW w:type="dxa" w:w="6768"/>
            <w:vAlign w:val="top"/>
          </w:tcPr>
          <w:p>
            <w:r/>
            <w:r>
              <w:rPr>
                <w:b w:val="0"/>
                <w:sz w:val="17"/>
              </w:rPr>
              <w:t>Converts mutation graph into canonical NVIR VSSA graph with instructions, tokens, edges, and diagnostics.</w:t>
            </w:r>
          </w:p>
        </w:tc>
      </w:tr>
      <w:tr>
        <w:tc>
          <w:tcPr>
            <w:tcW w:type="dxa" w:w="1152"/>
            <w:vAlign w:val="top"/>
          </w:tcPr>
          <w:p>
            <w:r/>
            <w:r>
              <w:rPr>
                <w:b w:val="0"/>
                <w:sz w:val="17"/>
              </w:rPr>
              <w:t>[x]</w:t>
            </w:r>
          </w:p>
        </w:tc>
        <w:tc>
          <w:tcPr>
            <w:tcW w:type="dxa" w:w="3168"/>
            <w:vAlign w:val="top"/>
          </w:tcPr>
          <w:p>
            <w:r/>
            <w:r>
              <w:rPr>
                <w:b w:val="0"/>
                <w:sz w:val="17"/>
              </w:rPr>
              <w:t>VSSA value model</w:t>
            </w:r>
          </w:p>
        </w:tc>
        <w:tc>
          <w:tcPr>
            <w:tcW w:type="dxa" w:w="6768"/>
            <w:vAlign w:val="top"/>
          </w:tcPr>
          <w:p>
            <w:r/>
            <w:r>
              <w:rPr>
                <w:b w:val="0"/>
                <w:sz w:val="17"/>
              </w:rPr>
              <w:t>Defines versioned, branch-scoped value identifiers and safety classifications.</w:t>
            </w:r>
          </w:p>
        </w:tc>
      </w:tr>
      <w:tr>
        <w:tc>
          <w:tcPr>
            <w:tcW w:type="dxa" w:w="1152"/>
            <w:vAlign w:val="top"/>
          </w:tcPr>
          <w:p>
            <w:r/>
            <w:r>
              <w:rPr>
                <w:b w:val="0"/>
                <w:sz w:val="17"/>
              </w:rPr>
              <w:t>[x]</w:t>
            </w:r>
          </w:p>
        </w:tc>
        <w:tc>
          <w:tcPr>
            <w:tcW w:type="dxa" w:w="3168"/>
            <w:vAlign w:val="top"/>
          </w:tcPr>
          <w:p>
            <w:r/>
            <w:r>
              <w:rPr>
                <w:b w:val="0"/>
                <w:sz w:val="17"/>
              </w:rPr>
              <w:t>State token model</w:t>
            </w:r>
          </w:p>
        </w:tc>
        <w:tc>
          <w:tcPr>
            <w:tcW w:type="dxa" w:w="6768"/>
            <w:vAlign w:val="top"/>
          </w:tcPr>
          <w:p>
            <w:r/>
            <w:r>
              <w:rPr>
                <w:b w:val="0"/>
                <w:sz w:val="17"/>
              </w:rPr>
              <w:t>Defines state_in/state_out sequencing and mutation ordering.</w:t>
            </w:r>
          </w:p>
        </w:tc>
      </w:tr>
      <w:tr>
        <w:tc>
          <w:tcPr>
            <w:tcW w:type="dxa" w:w="1152"/>
            <w:vAlign w:val="top"/>
          </w:tcPr>
          <w:p>
            <w:r/>
            <w:r>
              <w:rPr>
                <w:b w:val="0"/>
                <w:sz w:val="17"/>
              </w:rPr>
              <w:t>[x]</w:t>
            </w:r>
          </w:p>
        </w:tc>
        <w:tc>
          <w:tcPr>
            <w:tcW w:type="dxa" w:w="3168"/>
            <w:vAlign w:val="top"/>
          </w:tcPr>
          <w:p>
            <w:r/>
            <w:r>
              <w:rPr>
                <w:b w:val="0"/>
                <w:sz w:val="17"/>
              </w:rPr>
              <w:t>Branch token model</w:t>
            </w:r>
          </w:p>
        </w:tc>
        <w:tc>
          <w:tcPr>
            <w:tcW w:type="dxa" w:w="6768"/>
            <w:vAlign w:val="top"/>
          </w:tcPr>
          <w:p>
            <w:r/>
            <w:r>
              <w:rPr>
                <w:b w:val="0"/>
                <w:sz w:val="17"/>
              </w:rPr>
              <w:t>Defines branch identity, parentage, head state, status, budget, and score.</w:t>
            </w:r>
          </w:p>
        </w:tc>
      </w:tr>
      <w:tr>
        <w:tc>
          <w:tcPr>
            <w:tcW w:type="dxa" w:w="1152"/>
            <w:vAlign w:val="top"/>
          </w:tcPr>
          <w:p>
            <w:r/>
            <w:r>
              <w:rPr>
                <w:b w:val="0"/>
                <w:sz w:val="17"/>
              </w:rPr>
              <w:t>[x]</w:t>
            </w:r>
          </w:p>
        </w:tc>
        <w:tc>
          <w:tcPr>
            <w:tcW w:type="dxa" w:w="3168"/>
            <w:vAlign w:val="top"/>
          </w:tcPr>
          <w:p>
            <w:r/>
            <w:r>
              <w:rPr>
                <w:b w:val="0"/>
                <w:sz w:val="17"/>
              </w:rPr>
              <w:t>Audit token model</w:t>
            </w:r>
          </w:p>
        </w:tc>
        <w:tc>
          <w:tcPr>
            <w:tcW w:type="dxa" w:w="6768"/>
            <w:vAlign w:val="top"/>
          </w:tcPr>
          <w:p>
            <w:r/>
            <w:r>
              <w:rPr>
                <w:b w:val="0"/>
                <w:sz w:val="17"/>
              </w:rPr>
              <w:t>Defines capability-bearing audit predicates, subject matching, and expiry.</w:t>
            </w:r>
          </w:p>
        </w:tc>
      </w:tr>
      <w:tr>
        <w:tc>
          <w:tcPr>
            <w:tcW w:type="dxa" w:w="1152"/>
            <w:vAlign w:val="top"/>
          </w:tcPr>
          <w:p>
            <w:r/>
            <w:r>
              <w:rPr>
                <w:b w:val="0"/>
                <w:sz w:val="17"/>
              </w:rPr>
              <w:t>[x]</w:t>
            </w:r>
          </w:p>
        </w:tc>
        <w:tc>
          <w:tcPr>
            <w:tcW w:type="dxa" w:w="3168"/>
            <w:vAlign w:val="top"/>
          </w:tcPr>
          <w:p>
            <w:r/>
            <w:r>
              <w:rPr>
                <w:b w:val="0"/>
                <w:sz w:val="17"/>
              </w:rPr>
              <w:t>Versioned memory model</w:t>
            </w:r>
          </w:p>
        </w:tc>
        <w:tc>
          <w:tcPr>
            <w:tcW w:type="dxa" w:w="6768"/>
            <w:vAlign w:val="top"/>
          </w:tcPr>
          <w:p>
            <w:r/>
            <w:r>
              <w:rPr>
                <w:b w:val="0"/>
                <w:sz w:val="17"/>
              </w:rPr>
              <w:t>Defines branch-scoped memory tokens, RSM COW, delta, GC, and rollback behavior.</w:t>
            </w:r>
          </w:p>
        </w:tc>
      </w:tr>
      <w:tr>
        <w:tc>
          <w:tcPr>
            <w:tcW w:type="dxa" w:w="1152"/>
            <w:vAlign w:val="top"/>
          </w:tcPr>
          <w:p>
            <w:r/>
            <w:r>
              <w:rPr>
                <w:b w:val="0"/>
                <w:sz w:val="17"/>
              </w:rPr>
              <w:t>[x]</w:t>
            </w:r>
          </w:p>
        </w:tc>
        <w:tc>
          <w:tcPr>
            <w:tcW w:type="dxa" w:w="3168"/>
            <w:vAlign w:val="top"/>
          </w:tcPr>
          <w:p>
            <w:r/>
            <w:r>
              <w:rPr>
                <w:b w:val="0"/>
                <w:sz w:val="17"/>
              </w:rPr>
              <w:t>VPHI / state merge nodes</w:t>
            </w:r>
          </w:p>
        </w:tc>
        <w:tc>
          <w:tcPr>
            <w:tcW w:type="dxa" w:w="6768"/>
            <w:vAlign w:val="top"/>
          </w:tcPr>
          <w:p>
            <w:r/>
            <w:r>
              <w:rPr>
                <w:b w:val="0"/>
                <w:sz w:val="17"/>
              </w:rPr>
              <w:t>Defines exact/select/weight/vote/patch/Aegis merge semantics.</w:t>
            </w:r>
          </w:p>
        </w:tc>
      </w:tr>
      <w:tr>
        <w:tc>
          <w:tcPr>
            <w:tcW w:type="dxa" w:w="1152"/>
            <w:vAlign w:val="top"/>
          </w:tcPr>
          <w:p>
            <w:r/>
            <w:r>
              <w:rPr>
                <w:b w:val="0"/>
                <w:sz w:val="17"/>
              </w:rPr>
              <w:t>[x]</w:t>
            </w:r>
          </w:p>
        </w:tc>
        <w:tc>
          <w:tcPr>
            <w:tcW w:type="dxa" w:w="3168"/>
            <w:vAlign w:val="top"/>
          </w:tcPr>
          <w:p>
            <w:r/>
            <w:r>
              <w:rPr>
                <w:b w:val="0"/>
                <w:sz w:val="17"/>
              </w:rPr>
              <w:t>Dependency edge graph</w:t>
            </w:r>
          </w:p>
        </w:tc>
        <w:tc>
          <w:tcPr>
            <w:tcW w:type="dxa" w:w="6768"/>
            <w:vAlign w:val="top"/>
          </w:tcPr>
          <w:p>
            <w:r/>
            <w:r>
              <w:rPr>
                <w:b w:val="0"/>
                <w:sz w:val="17"/>
              </w:rPr>
              <w:t>Defines data, state, branch, merge, audit, policy, topology, quantum, numeric, privilege, and rollback edges.</w:t>
            </w:r>
          </w:p>
        </w:tc>
      </w:tr>
      <w:tr>
        <w:tc>
          <w:tcPr>
            <w:tcW w:type="dxa" w:w="1152"/>
            <w:vAlign w:val="top"/>
          </w:tcPr>
          <w:p>
            <w:r/>
            <w:r>
              <w:rPr>
                <w:b w:val="0"/>
                <w:sz w:val="17"/>
              </w:rPr>
              <w:t>[x]</w:t>
            </w:r>
          </w:p>
        </w:tc>
        <w:tc>
          <w:tcPr>
            <w:tcW w:type="dxa" w:w="3168"/>
            <w:vAlign w:val="top"/>
          </w:tcPr>
          <w:p>
            <w:r/>
            <w:r>
              <w:rPr>
                <w:b w:val="0"/>
                <w:sz w:val="17"/>
              </w:rPr>
              <w:t>Safe-data-across-futures rules</w:t>
            </w:r>
          </w:p>
        </w:tc>
        <w:tc>
          <w:tcPr>
            <w:tcW w:type="dxa" w:w="6768"/>
            <w:vAlign w:val="top"/>
          </w:tcPr>
          <w:p>
            <w:r/>
            <w:r>
              <w:rPr>
                <w:b w:val="0"/>
                <w:sz w:val="17"/>
              </w:rPr>
              <w:t>Defines parent inheritance, sibling restrictions, audit-gated commit, rollback expiry, merge identity, and handle validity.</w:t>
            </w:r>
          </w:p>
        </w:tc>
      </w:tr>
      <w:tr>
        <w:tc>
          <w:tcPr>
            <w:tcW w:type="dxa" w:w="1152"/>
            <w:vAlign w:val="top"/>
          </w:tcPr>
          <w:p>
            <w:r/>
            <w:r>
              <w:rPr>
                <w:b w:val="0"/>
                <w:sz w:val="17"/>
              </w:rPr>
              <w:t>[x]</w:t>
            </w:r>
          </w:p>
        </w:tc>
        <w:tc>
          <w:tcPr>
            <w:tcW w:type="dxa" w:w="3168"/>
            <w:vAlign w:val="top"/>
          </w:tcPr>
          <w:p>
            <w:r/>
            <w:r>
              <w:rPr>
                <w:b w:val="0"/>
                <w:sz w:val="17"/>
              </w:rPr>
              <w:t>Semantic-lowering diagnostics</w:t>
            </w:r>
          </w:p>
        </w:tc>
        <w:tc>
          <w:tcPr>
            <w:tcW w:type="dxa" w:w="6768"/>
            <w:vAlign w:val="top"/>
          </w:tcPr>
          <w:p>
            <w:r/>
            <w:r>
              <w:rPr>
                <w:b w:val="0"/>
                <w:sz w:val="17"/>
              </w:rPr>
              <w:t>Defines E0021-E0030 and supporting warnings.</w:t>
            </w:r>
          </w:p>
        </w:tc>
      </w:tr>
      <w:tr>
        <w:tc>
          <w:tcPr>
            <w:tcW w:type="dxa" w:w="1152"/>
            <w:vAlign w:val="top"/>
          </w:tcPr>
          <w:p>
            <w:r/>
            <w:r>
              <w:rPr>
                <w:b w:val="0"/>
                <w:sz w:val="17"/>
              </w:rPr>
              <w:t>[x]</w:t>
            </w:r>
          </w:p>
        </w:tc>
        <w:tc>
          <w:tcPr>
            <w:tcW w:type="dxa" w:w="3168"/>
            <w:vAlign w:val="top"/>
          </w:tcPr>
          <w:p>
            <w:r/>
            <w:r>
              <w:rPr>
                <w:b w:val="0"/>
                <w:sz w:val="17"/>
              </w:rPr>
              <w:t>.nvir canonical JSON schema v0.2</w:t>
            </w:r>
          </w:p>
        </w:tc>
        <w:tc>
          <w:tcPr>
            <w:tcW w:type="dxa" w:w="6768"/>
            <w:vAlign w:val="top"/>
          </w:tcPr>
          <w:p>
            <w:r/>
            <w:r>
              <w:rPr>
                <w:b w:val="0"/>
                <w:sz w:val="17"/>
              </w:rPr>
              <w:t>Defines top-level module structure, state_graph, values, tokens, instructions, edges, diagnostics, and debug fields.</w:t>
            </w:r>
          </w:p>
        </w:tc>
      </w:tr>
    </w:tbl>
    <w:p/>
    <w:p>
      <w:pPr>
        <w:pStyle w:val="Heading1"/>
      </w:pPr>
      <w:r>
        <w:t>16. Final Rule</w:t>
      </w:r>
    </w:p>
    <w:p>
      <w:pPr>
        <w:pStyle w:val="CodeBlock"/>
      </w:pPr>
      <w:r>
        <w:rPr>
          <w:rFonts w:ascii="Consolas" w:hAnsi="Consolas" w:eastAsia="Consolas"/>
          <w:sz w:val="16"/>
        </w:rPr>
        <w:t>The NVASM parser proves what the source means.</w:t>
        <w:br/>
        <w:t>The semantic lowering pass proves how that meaning becomes executable state-aware IR.</w:t>
        <w:br/>
        <w:t>NVIR must preserve possible futures, not erase them.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fill="F2F2F2"/>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