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Nexus-V Adaptive Physical Execution Fabric v0.1</w:t>
      </w:r>
    </w:p>
    <w:p>
      <w:pPr>
        <w:jc w:val="center"/>
      </w:pPr>
      <w:r>
        <w:rPr>
          <w:i/>
          <w:color w:val="4B5563"/>
          <w:sz w:val="21"/>
        </w:rPr>
        <w:t>Physical execution-domain routing, adaptive path selection, and self-auditing heterogeneous dispatch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9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Document ID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NV-ADAPTIVE-PHYSICAL-FABRIC-v0.1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Defines the physical hardware layer that routes instruction streams, micro-ops, blocks, and workloads to the best adjacent execution domain.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Architectural status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Specification and implementation roadmap; not yet full RTL implementation.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Core rule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This fabric is an addition to Nexus-V, not a replacement for RSM, Aegis, topology fabric, tensor/NPU, quantum bridge, or four-domain Harvard-lane memory.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Primary block name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Adaptive Execution Router (AER), also usable as Dynamic Execution Path Selector (DEPS).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First implementation target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 simple selector that routes ALU, load/store, vector, tensor, route, quantum, RSM, and Aegis-class operations to explicit physical domains.</w:t>
            </w:r>
          </w:p>
        </w:tc>
      </w:tr>
    </w:tbl>
    <w:p>
      <w:pPr>
        <w:pStyle w:val="Heading1"/>
      </w:pPr>
      <w:r>
        <w:t>1. Executive Definition</w:t>
      </w:r>
    </w:p>
    <w:p>
      <w:r>
        <w:t>The Nexus-V Adaptive Physical Execution Fabric is a hardware layer that sits beside the conventional CPU pipeline and the native Nexus-V execution systems. It does not merely emulate or translate foreign code in software. It provides adjacent physical execution paths and a decision engine that chooses the most suitable path for each instruction, micro-operation, block, or workload.</w:t>
      </w:r>
    </w:p>
    <w:p>
      <w:r>
        <w:t>The design goal is to let Nexus-V execute ordinary scalar control code, RISC-like load-store instructions, vector/SIMD work, SIMT/GPU-style work, DSP kernels, tensor/NPU operations, RSM branch-state workloads, topology routes, Aegis audit operations, quantum bridge operations, and compatibility-mode instruction streams through the hardware path that best matches semantic meaning, latency, power, heat, and safety constraints.</w:t>
      </w:r>
    </w:p>
    <w:p>
      <w:pPr>
        <w:pStyle w:val="CodeBlock"/>
      </w:pPr>
      <w:r>
        <w:rPr>
          <w:rFonts w:ascii="Consolas" w:hAnsi="Consolas" w:eastAsia="Consolas"/>
          <w:color w:val="232323"/>
          <w:sz w:val="16"/>
        </w:rPr>
        <w:t>Not the model: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foreign ISA -&gt; emulator -&gt; one CPU pipeline</w:t>
      </w:r>
      <w:r>
        <w:br/>
      </w:r>
      <w:r>
        <w:rPr>
          <w:rFonts w:ascii="Consolas" w:hAnsi="Consolas" w:eastAsia="Consolas"/>
          <w:color w:val="232323"/>
          <w:sz w:val="16"/>
        </w:rPr>
      </w:r>
      <w:r>
        <w:br/>
      </w:r>
      <w:r>
        <w:rPr>
          <w:rFonts w:ascii="Consolas" w:hAnsi="Consolas" w:eastAsia="Consolas"/>
          <w:color w:val="232323"/>
          <w:sz w:val="16"/>
        </w:rPr>
        <w:t>Correct Nexus-V model: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native/foreign/optimized instruction stream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-&gt; semantic classification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-&gt; physical path selection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-&gt; dispatch to adjacent execution domain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-&gt; normalized result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-&gt; token validation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-&gt; RSM-safe retirement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-&gt; Aegis-safe commit</w:t>
      </w:r>
      <w:r>
        <w:br/>
      </w:r>
    </w:p>
    <w:p>
      <w:pPr>
        <w:pStyle w:val="Heading1"/>
      </w:pPr>
      <w:r>
        <w:t>2. Non-Replacement Principle</w:t>
      </w:r>
    </w:p>
    <w:p>
      <w:r>
        <w:t>This addendum preserves the existing Nexus-V identity. The conventional CPU execution layer and adaptive physical fabric are additions that improve compatibility, performance, power efficiency, and scheduling flexibility.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Preserved native Nexus-V system</w:t>
            </w:r>
          </w:p>
        </w:tc>
        <w:tc>
          <w:tcPr>
            <w:tcW w:type="dxa" w:w="5472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Added adaptive execution capability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3D / depth-parallel versioned-state compute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Routes suitable work into state-aware physical execution paths.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RSM Git-like rollback, branching, COW, and commit lineage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Every execution path carries branch/state ownership and retirement constraints.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Aegis audit, commit gate, ATTEST, MINREP, safeguard auditing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Every selected path can be audited, denied, quarantined, or promoted.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Topology/polyhedral routing fabric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Becomes one of the selectable execution/movement domains.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Tensor/NPU and QSIM/QHW quantum bridge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Become native physical domains selected by workload semantics.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Four-domain Harvard-lane memory model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Instruction, data, execution, and live/hot lanes provide independent bus paths.</w:t>
            </w:r>
          </w:p>
        </w:tc>
      </w:tr>
    </w:tbl>
    <w:p>
      <w:pPr>
        <w:pStyle w:val="Heading1"/>
      </w:pPr>
      <w:r>
        <w:t>3. Physical Execution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4392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Physical role</w:t>
            </w:r>
          </w:p>
        </w:tc>
        <w:tc>
          <w:tcPr>
            <w:tcW w:type="dxa" w:w="3456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Typical workload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Scalar CPU Pipeline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General control execution and ordinary integer operations.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Branches, scalar ALU, OS code, control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RISC / Load-Store Path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Clean register-register execution with memory only through LSU.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Portable base ISA execution, predictable pipeline.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Vector / SIMD Unit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One instruction over multiple lanes.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Array math, media, physics, compact numeric kernels.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SIMT / GPU Domain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Many lanes executing a shared kernel with divergence control.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Graphics, shader-like code, large parallel kernels.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DSP Domain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Specialized streaming math and signal-processing datapath.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Audio, sensor streams, FFT, FIR/IIR, fixed-point MAC.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Tensor / NPU Domain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Matrix/tensor compute with tile scheduling and NPU audit path.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AI inference, matmul, attention, tensor transforms.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RSM / Versioned-State Domain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Branching, rollback, COW, lineage, and speculative state handling.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State forks, future-path exploration, reversible debugging.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Topology Fabric Domain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Physical/geometric route and data movement fabric.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G.ROUTE, G.GEO_PATH, tensor tile movement.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Quantum Bridge Domain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QSIM/QHW preparation, measurement, sync, and audit path.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Quantum-class operations and deterministic collapse sync.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Aegis Audit Domain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Policy evaluation, commit gating, attestation, quarantine.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Security-sensitive state transitions and privacy-safe proof.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Compatibility Decode Assist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Physical assist for foreign ISA decoding and semantic mapping.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x86/ARM-like block decode, ABI/syscall adaptation support.</w:t>
            </w:r>
          </w:p>
        </w:tc>
      </w:tr>
    </w:tbl>
    <w:p>
      <w:pPr>
        <w:pStyle w:val="Heading1"/>
      </w:pPr>
      <w:r>
        <w:t>4. Adaptive Execution Router (AER)</w:t>
      </w:r>
    </w:p>
    <w:p>
      <w:r>
        <w:t>The Adaptive Execution Router is the central hardware decision block. It receives decoded instructions, internal micro-ops, compiler metadata, runtime profile data, branch/state metadata, memory-domain metadata, Aegis trust state, and hardware availability signals. It selects the physical path that best satisfies correctness, latency, power, thermal, and audit constraints.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96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AER input</w:t>
            </w:r>
          </w:p>
        </w:tc>
        <w:tc>
          <w:tcPr>
            <w:tcW w:type="dxa" w:w="6984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Instruction/uop semantic class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ALU, load, store, vector, tensor, route, quantum, RSM, Aegis, DSP, GPU, compatibility, system.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Compiler hint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Parallelism, vectorization, speculation, memory domain, latency class, power hint.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Runtime profile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Hot block status, branch frequency, unit occupancy, cache behavior.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Aegis risk/trust input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Whether this operation needs audit, should be sandboxed, or must be blocked.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RSM rollback-risk input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Whether speculation or state branching is safe and recoverable.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Thermal/power input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Whether the preferred domain is hot, power-limited, or unavailable.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Memory-domain input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Instruction, data, execution, live/hot, RSM page, Aegis secure, tensor scratch, quantum.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Hardware availability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Busy/fault/hot/untrusted masks for execution domains and fabric nodes.</w:t>
            </w:r>
          </w:p>
        </w:tc>
      </w:tr>
    </w:tbl>
    <w:p>
      <w:pPr>
        <w:pStyle w:val="CodeBlock"/>
      </w:pPr>
      <w:r>
        <w:rPr>
          <w:rFonts w:ascii="Consolas" w:hAnsi="Consolas" w:eastAsia="Consolas"/>
          <w:color w:val="232323"/>
          <w:sz w:val="16"/>
        </w:rPr>
        <w:t>AER decision flow:</w:t>
      </w:r>
      <w:r>
        <w:br/>
      </w:r>
      <w:r>
        <w:rPr>
          <w:rFonts w:ascii="Consolas" w:hAnsi="Consolas" w:eastAsia="Consolas"/>
          <w:color w:val="232323"/>
          <w:sz w:val="16"/>
        </w:rPr>
        <w:t>1. Classify semantic intent.</w:t>
      </w:r>
      <w:r>
        <w:br/>
      </w:r>
      <w:r>
        <w:rPr>
          <w:rFonts w:ascii="Consolas" w:hAnsi="Consolas" w:eastAsia="Consolas"/>
          <w:color w:val="232323"/>
          <w:sz w:val="16"/>
        </w:rPr>
        <w:t>2. Check correctness constraints.</w:t>
      </w:r>
      <w:r>
        <w:br/>
      </w:r>
      <w:r>
        <w:rPr>
          <w:rFonts w:ascii="Consolas" w:hAnsi="Consolas" w:eastAsia="Consolas"/>
          <w:color w:val="232323"/>
          <w:sz w:val="16"/>
        </w:rPr>
        <w:t>3. Check RSM/Aegis eligibility.</w:t>
      </w:r>
      <w:r>
        <w:br/>
      </w:r>
      <w:r>
        <w:rPr>
          <w:rFonts w:ascii="Consolas" w:hAnsi="Consolas" w:eastAsia="Consolas"/>
          <w:color w:val="232323"/>
          <w:sz w:val="16"/>
        </w:rPr>
        <w:t>4. Estimate latency, power, thermal cost, and contention.</w:t>
      </w:r>
      <w:r>
        <w:br/>
      </w:r>
      <w:r>
        <w:rPr>
          <w:rFonts w:ascii="Consolas" w:hAnsi="Consolas" w:eastAsia="Consolas"/>
          <w:color w:val="232323"/>
          <w:sz w:val="16"/>
        </w:rPr>
        <w:t>5. Select primary execution domain.</w:t>
      </w:r>
      <w:r>
        <w:br/>
      </w:r>
      <w:r>
        <w:rPr>
          <w:rFonts w:ascii="Consolas" w:hAnsi="Consolas" w:eastAsia="Consolas"/>
          <w:color w:val="232323"/>
          <w:sz w:val="16"/>
        </w:rPr>
        <w:t>6. Select fallback execution domain.</w:t>
      </w:r>
      <w:r>
        <w:br/>
      </w:r>
      <w:r>
        <w:rPr>
          <w:rFonts w:ascii="Consolas" w:hAnsi="Consolas" w:eastAsia="Consolas"/>
          <w:color w:val="232323"/>
          <w:sz w:val="16"/>
        </w:rPr>
        <w:t>7. Dispatch with full identity metadata.</w:t>
      </w:r>
      <w:r>
        <w:br/>
      </w:r>
      <w:r>
        <w:rPr>
          <w:rFonts w:ascii="Consolas" w:hAnsi="Consolas" w:eastAsia="Consolas"/>
          <w:color w:val="232323"/>
          <w:sz w:val="16"/>
        </w:rPr>
        <w:t>8. Normalize result.</w:t>
      </w:r>
      <w:r>
        <w:br/>
      </w:r>
      <w:r>
        <w:rPr>
          <w:rFonts w:ascii="Consolas" w:hAnsi="Consolas" w:eastAsia="Consolas"/>
          <w:color w:val="232323"/>
          <w:sz w:val="16"/>
        </w:rPr>
        <w:t>9. Validate tokens and dependencies.</w:t>
      </w:r>
      <w:r>
        <w:br/>
      </w:r>
      <w:r>
        <w:rPr>
          <w:rFonts w:ascii="Consolas" w:hAnsi="Consolas" w:eastAsia="Consolas"/>
          <w:color w:val="232323"/>
          <w:sz w:val="16"/>
        </w:rPr>
        <w:t>10. Retire through RSM-safe and Aegis-safe commit path.</w:t>
      </w:r>
      <w:r>
        <w:br/>
      </w:r>
    </w:p>
    <w:p>
      <w:pPr>
        <w:pStyle w:val="Heading1"/>
      </w:pPr>
      <w:r>
        <w:t>5. Execution Path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2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Input / workload</w:t>
            </w:r>
          </w:p>
        </w:tc>
        <w:tc>
          <w:tcPr>
            <w:tcW w:type="dxa" w:w="3456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Preferred path</w:t>
            </w:r>
          </w:p>
        </w:tc>
        <w:tc>
          <w:tcPr>
            <w:tcW w:type="dxa" w:w="3384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Fallback path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ADD r1, r2, r3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Scalar CPU integer ALU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Secondary ALU lane or E-core.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LOAD / STORE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LSU + data memory lane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RSM COW page path if branch-owned.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Vectorizable loop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Vector/SIMD unit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Scalar loop or SIMT domain.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Massively parallel pixel/kernel workload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GPU/SIMT domain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Vector/SIMD or CPU fallback.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FIR/FFT/audio/sensor stream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DSP domain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Vector/SIMD or tensor domain.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Matrix multiply / AI layer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Tensor/NPU domain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SIMD or GPU/SIMT domain.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Evaluate possible futures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RSM branch engine + topology fabric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Single-path scalar execution.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G.ROUTE / G.GEO_PATH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Topology fabric domain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Direct route table fallback.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QPREP/QH/QMEASURE/QSYNC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Quantum bridge domain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QSIM-only software/RTL model.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Suspicious privileged action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Aegis audit domain before execution or commit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Deny/quarantine.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7"/>
              </w:rPr>
              <w:t>x86/ARM-like block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Compatibility decode assist + uop conversion + best physical domain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Interpreter/safe fallback.</w:t>
            </w:r>
          </w:p>
        </w:tc>
      </w:tr>
    </w:tbl>
    <w:p>
      <w:pPr>
        <w:pStyle w:val="Heading1"/>
      </w:pPr>
      <w:r>
        <w:t>6. Dispatch Metadata Contract</w:t>
      </w:r>
    </w:p>
    <w:p>
      <w:r>
        <w:t>Every AER dispatch must preserve semantic identity. Moving execution between hardware domains is legal only if architectural meaning, privilege, branch/state ownership, memory-domain behavior, and commit safety are preserved.</w:t>
      </w:r>
    </w:p>
    <w:p>
      <w:pPr>
        <w:pStyle w:val="CodeBlock"/>
      </w:pPr>
      <w:r>
        <w:rPr>
          <w:rFonts w:ascii="Consolas" w:hAnsi="Consolas" w:eastAsia="Consolas"/>
          <w:color w:val="232323"/>
          <w:sz w:val="16"/>
        </w:rPr>
        <w:t>typedef struct packed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[31:0] instr_id;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[31:0] uop_id;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[7:0]  core_id;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[7:0]  thread_id;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[31:0] branch_id;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[31:0] state_id;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[31:0] commit_id;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[2:0]  privilege;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[15:0] aegis_policy_id;</w:t>
      </w:r>
      <w:r>
        <w:br/>
      </w:r>
      <w:r>
        <w:rPr>
          <w:rFonts w:ascii="Consolas" w:hAnsi="Consolas" w:eastAsia="Consolas"/>
          <w:color w:val="232323"/>
          <w:sz w:val="16"/>
        </w:rPr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[7:0]  source_isa_personality;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[7:0]  semantic_class;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[7:0]  preferred_exec_domain;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[7:0]  fallback_exec_domain;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[2:0]  memory_domain;</w:t>
      </w:r>
      <w:r>
        <w:br/>
      </w:r>
      <w:r>
        <w:rPr>
          <w:rFonts w:ascii="Consolas" w:hAnsi="Consolas" w:eastAsia="Consolas"/>
          <w:color w:val="232323"/>
          <w:sz w:val="16"/>
        </w:rPr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[7:0]  allowed_speculation_level;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[7:0]  required_audit_level;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[15:0] latency_budget;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[15:0] power_budget;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logic [15:0] thermal_budget;</w:t>
      </w:r>
      <w:r>
        <w:br/>
      </w:r>
      <w:r>
        <w:rPr>
          <w:rFonts w:ascii="Consolas" w:hAnsi="Consolas" w:eastAsia="Consolas"/>
          <w:color w:val="232323"/>
          <w:sz w:val="16"/>
        </w:rPr>
        <w:t>} nvisc_aer_dispatch_t;</w:t>
      </w:r>
      <w:r>
        <w:br/>
      </w:r>
    </w:p>
    <w:p>
      <w:pPr>
        <w:pStyle w:val="Heading1"/>
      </w:pPr>
      <w:r>
        <w:t>7. Result Normalization and Safe Retirement</w:t>
      </w:r>
    </w:p>
    <w:p>
      <w:r>
        <w:t>Each physical execution domain produces results in its own native format. The result normalization layer converts those results into a common Nexus-V completion record before retirement.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9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Normalize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Convert scalar, vector, DSP, GPU, tensor, route, quantum, or compatibility-domain output into a common completion record.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Validate tokens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Confirm core/thread/branch/state/commit IDs still match live ownership.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Check dependencies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Confirm register, memory, route, tensor, quantum, and audit dependencies are resolved.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Check RSM safety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Ensure rollback has not invalidated the result and sealed states are not mutated.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Check Aegis safety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Apply policy, tamper, trust, quarantine, and audit-token checks.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Commit or discard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Promote safe results; flush, rollback, quarantine, or retry unsafe results.</w:t>
            </w:r>
          </w:p>
        </w:tc>
      </w:tr>
    </w:tbl>
    <w:p>
      <w:pPr>
        <w:pStyle w:val="Heading1"/>
      </w:pPr>
      <w:r>
        <w:t>8. Physical Interconnection Model</w:t>
      </w:r>
    </w:p>
    <w:p>
      <w:pPr>
        <w:pStyle w:val="CodeBlock"/>
      </w:pPr>
      <w:r>
        <w:rPr>
          <w:rFonts w:ascii="Consolas" w:hAnsi="Consolas" w:eastAsia="Consolas"/>
          <w:color w:val="232323"/>
          <w:sz w:val="16"/>
        </w:rPr>
        <w:t xml:space="preserve">                Instruction/uop stream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             |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             v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+--------------------------------+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| Adaptive Execution Router       |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| classifier + profiler + policy  |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+----------------+---------------+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               |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+-------------------+-------------------+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|                   |                   |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v                   v                   v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CPU pipeline        Vector/SIMD          Tensor/NPU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|                   |                   |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v                   v                   v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DSP engine          GPU/SIMT             RSM engine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|                   |                   |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v                   v                   v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Quantum bridge      Aegis audit          Topology fabric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\___________________|___________________/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               |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               v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Result normalization + token validation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               |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               v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RSM-safe retirement + Aegis-safe commit</w:t>
      </w:r>
      <w:r>
        <w:br/>
      </w:r>
    </w:p>
    <w:p>
      <w:r>
        <w:t>The interconnect must be aware of the four-domain Harvard-lane memory model. Instruction fetch traffic, ordinary data traffic, execution-memory traffic, and live/hot memory traffic should have separate buses or separable channels so hot execution state does not starve instruction fetch or ordinary load/store traffic.</w:t>
      </w:r>
    </w:p>
    <w:p>
      <w:pPr>
        <w:pStyle w:val="Heading1"/>
      </w:pPr>
      <w:r>
        <w:t>9. Cost Model and Smart Path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Cost dimension</w:t>
            </w:r>
          </w:p>
        </w:tc>
        <w:tc>
          <w:tcPr>
            <w:tcW w:type="dxa" w:w="7632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AER evaluation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Latency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Choose low-latency scalar/vector path for short operations; choose accelerator only when dispatch overhead is justified.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Throughput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Move large parallel blocks to SIMD, SIMT, tensor, or DSP domains.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Power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Prefer E-core, DSP, or fixed-function accelerator when sufficient.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Thermal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Avoid hot nodes/domains and use topology/fabric masks.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Correctness risk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Avoid aggressive optimization if memory ordering, precision, or state semantics are uncertain.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Rollback risk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Run speculative/uncertain work in RSM-managed execution memory.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Aegis risk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Audit, sandbox, or quarantine high-risk or policy-sensitive operations.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Fallback if preferred unit is busy, faulted, untrusted, or power-gated.</w:t>
            </w:r>
          </w:p>
        </w:tc>
      </w:tr>
    </w:tbl>
    <w:p>
      <w:pPr>
        <w:pStyle w:val="Heading1"/>
      </w:pPr>
      <w:r>
        <w:t>10. Foreign ISA and OS Compatibility as Physical Path Selection</w:t>
      </w:r>
    </w:p>
    <w:p>
      <w:r>
        <w:t>Compatibility-mode execution is not restricted to emulating a foreign CPU instruction-by-instruction. A foreign instruction block can be decoded by a hardware-assisted compatibility path, deconstructed into Nexus-V micro-ops, classified semantically, and routed to whichever physical execution domain best preserves meaning while minimizing latency, power, and heat.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84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Foreign/source operation</w:t>
            </w:r>
          </w:p>
        </w:tc>
        <w:tc>
          <w:tcPr>
            <w:tcW w:type="dxa" w:w="6696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Possible Nexus-V physical path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x86 scalar arithmetic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7"/>
              </w:rPr>
              <w:t>Scalar CPU pipeline or ALU cluster.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x86 flags-heavy branch block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7"/>
              </w:rPr>
              <w:t>CPU branch unit plus compatibility flag-map assist.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ARM NEON-like vector block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7"/>
              </w:rPr>
              <w:t>Vector/SIMD domain.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Android media/audio pipeline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7"/>
              </w:rPr>
              <w:t>DSP or GPU/SIMT domain through OS personality layer.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ML library kernel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7"/>
              </w:rPr>
              <w:t>Tensor/NPU domain with Aegis model-output audit if policy-sensitive.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Graphics/shader workload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7"/>
              </w:rPr>
              <w:t>GPU/SIMT domain with Aegis GPU provenance hooks.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Self-modifying or suspicious code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7"/>
              </w:rPr>
              <w:t>Aegis audit + RSM speculative sandbox before promotion.</w:t>
            </w:r>
          </w:p>
        </w:tc>
      </w:tr>
    </w:tbl>
    <w:p>
      <w:pPr>
        <w:pStyle w:val="Heading1"/>
      </w:pPr>
      <w:r>
        <w:t>11. Required Hardware Blocks</w:t>
      </w:r>
    </w:p>
    <w:p>
      <w:pPr>
        <w:pStyle w:val="ListBullet"/>
      </w:pPr>
      <w:r>
        <w:rPr>
          <w:b/>
        </w:rPr>
        <w:t xml:space="preserve">[x] </w:t>
      </w:r>
      <w:r>
        <w:t>Adaptive Execution Router / Dynamic Execution Path Selector.</w:t>
      </w:r>
    </w:p>
    <w:p>
      <w:pPr>
        <w:pStyle w:val="ListBullet"/>
      </w:pPr>
      <w:r>
        <w:rPr>
          <w:b/>
        </w:rPr>
        <w:t xml:space="preserve">[x] </w:t>
      </w:r>
      <w:r>
        <w:t>Workload and semantic classifier.</w:t>
      </w:r>
    </w:p>
    <w:p>
      <w:pPr>
        <w:pStyle w:val="ListBullet"/>
      </w:pPr>
      <w:r>
        <w:rPr>
          <w:b/>
        </w:rPr>
        <w:t xml:space="preserve">[x] </w:t>
      </w:r>
      <w:r>
        <w:t>Physical execution-domain table.</w:t>
      </w:r>
    </w:p>
    <w:p>
      <w:pPr>
        <w:pStyle w:val="ListBullet"/>
      </w:pPr>
      <w:r>
        <w:rPr>
          <w:b/>
        </w:rPr>
        <w:t xml:space="preserve">[x] </w:t>
      </w:r>
      <w:r>
        <w:t>Latency/power/thermal/fault/trust cost model.</w:t>
      </w:r>
    </w:p>
    <w:p>
      <w:pPr>
        <w:pStyle w:val="ListBullet"/>
      </w:pPr>
      <w:r>
        <w:rPr>
          <w:b/>
        </w:rPr>
        <w:t xml:space="preserve">[x] </w:t>
      </w:r>
      <w:r>
        <w:t>Compiler-hint and runtime-profile input registers.</w:t>
      </w:r>
    </w:p>
    <w:p>
      <w:pPr>
        <w:pStyle w:val="ListBullet"/>
      </w:pPr>
      <w:r>
        <w:rPr>
          <w:b/>
        </w:rPr>
        <w:t xml:space="preserve">[x] </w:t>
      </w:r>
      <w:r>
        <w:t>Aegis trust/risk input and quarantine output.</w:t>
      </w:r>
    </w:p>
    <w:p>
      <w:pPr>
        <w:pStyle w:val="ListBullet"/>
      </w:pPr>
      <w:r>
        <w:rPr>
          <w:b/>
        </w:rPr>
        <w:t xml:space="preserve">[x] </w:t>
      </w:r>
      <w:r>
        <w:t>RSM rollback-risk and branch/state ownership input.</w:t>
      </w:r>
    </w:p>
    <w:p>
      <w:pPr>
        <w:pStyle w:val="ListBullet"/>
      </w:pPr>
      <w:r>
        <w:rPr>
          <w:b/>
        </w:rPr>
        <w:t xml:space="preserve">[x] </w:t>
      </w:r>
      <w:r>
        <w:t>Dispatch arbiter and fallback selector.</w:t>
      </w:r>
    </w:p>
    <w:p>
      <w:pPr>
        <w:pStyle w:val="ListBullet"/>
      </w:pPr>
      <w:r>
        <w:rPr>
          <w:b/>
        </w:rPr>
        <w:t xml:space="preserve">[x] </w:t>
      </w:r>
      <w:r>
        <w:t>Result normalization layer.</w:t>
      </w:r>
    </w:p>
    <w:p>
      <w:pPr>
        <w:pStyle w:val="ListBullet"/>
      </w:pPr>
      <w:r>
        <w:rPr>
          <w:b/>
        </w:rPr>
        <w:t xml:space="preserve">[x] </w:t>
      </w:r>
      <w:r>
        <w:t>Cross-domain token preservation logic.</w:t>
      </w:r>
    </w:p>
    <w:p>
      <w:pPr>
        <w:pStyle w:val="ListBullet"/>
      </w:pPr>
      <w:r>
        <w:rPr>
          <w:b/>
        </w:rPr>
        <w:t xml:space="preserve">[x] </w:t>
      </w:r>
      <w:r>
        <w:t>Path-selection trace log for verification and profiling.</w:t>
      </w:r>
    </w:p>
    <w:p>
      <w:pPr>
        <w:pStyle w:val="ListBullet"/>
      </w:pPr>
      <w:r>
        <w:rPr>
          <w:b/>
        </w:rPr>
        <w:t xml:space="preserve">[x] </w:t>
      </w:r>
      <w:r>
        <w:t>Compatibility decode assist for foreign ISA personalities.</w:t>
      </w:r>
    </w:p>
    <w:p>
      <w:pPr>
        <w:pStyle w:val="ListBullet"/>
      </w:pPr>
      <w:r>
        <w:rPr>
          <w:b/>
        </w:rPr>
        <w:t xml:space="preserve">[x] </w:t>
      </w:r>
      <w:r>
        <w:t>Accelerator dispatch adapters for vector, DSP, GPU, tensor/NPU, topology, quantum, and Aegis domains.</w:t>
      </w:r>
    </w:p>
    <w:p>
      <w:pPr>
        <w:pStyle w:val="Heading1"/>
      </w:pPr>
      <w:r>
        <w:t>12. SystemVerilog Source Set</w:t>
      </w:r>
    </w:p>
    <w:p>
      <w:pPr>
        <w:pStyle w:val="CodeBlock"/>
      </w:pPr>
      <w:r>
        <w:rPr>
          <w:rFonts w:ascii="Consolas" w:hAnsi="Consolas" w:eastAsia="Consolas"/>
          <w:color w:val="232323"/>
          <w:sz w:val="16"/>
        </w:rPr>
        <w:t>rtl/adaptive_fabric_v01/</w:t>
      </w:r>
      <w:r>
        <w:br/>
      </w:r>
      <w:r>
        <w:rPr>
          <w:rFonts w:ascii="Consolas" w:hAnsi="Consolas" w:eastAsia="Consolas"/>
          <w:color w:val="232323"/>
          <w:sz w:val="16"/>
        </w:rPr>
        <w:t>├─ nvisc_aer_pkg.sv</w:t>
      </w:r>
      <w:r>
        <w:br/>
      </w:r>
      <w:r>
        <w:rPr>
          <w:rFonts w:ascii="Consolas" w:hAnsi="Consolas" w:eastAsia="Consolas"/>
          <w:color w:val="232323"/>
          <w:sz w:val="16"/>
        </w:rPr>
        <w:t>├─ nvisc_aer_dispatch_types.sv</w:t>
      </w:r>
      <w:r>
        <w:br/>
      </w:r>
      <w:r>
        <w:rPr>
          <w:rFonts w:ascii="Consolas" w:hAnsi="Consolas" w:eastAsia="Consolas"/>
          <w:color w:val="232323"/>
          <w:sz w:val="16"/>
        </w:rPr>
        <w:t>├─ nvisc_workload_classifier.sv</w:t>
      </w:r>
      <w:r>
        <w:br/>
      </w:r>
      <w:r>
        <w:rPr>
          <w:rFonts w:ascii="Consolas" w:hAnsi="Consolas" w:eastAsia="Consolas"/>
          <w:color w:val="232323"/>
          <w:sz w:val="16"/>
        </w:rPr>
        <w:t>├─ nvisc_execution_domain_table.sv</w:t>
      </w:r>
      <w:r>
        <w:br/>
      </w:r>
      <w:r>
        <w:rPr>
          <w:rFonts w:ascii="Consolas" w:hAnsi="Consolas" w:eastAsia="Consolas"/>
          <w:color w:val="232323"/>
          <w:sz w:val="16"/>
        </w:rPr>
        <w:t>├─ nvisc_path_cost_model.sv</w:t>
      </w:r>
      <w:r>
        <w:br/>
      </w:r>
      <w:r>
        <w:rPr>
          <w:rFonts w:ascii="Consolas" w:hAnsi="Consolas" w:eastAsia="Consolas"/>
          <w:color w:val="232323"/>
          <w:sz w:val="16"/>
        </w:rPr>
        <w:t>├─ nvisc_aer_dispatch_arbiter.sv</w:t>
      </w:r>
      <w:r>
        <w:br/>
      </w:r>
      <w:r>
        <w:rPr>
          <w:rFonts w:ascii="Consolas" w:hAnsi="Consolas" w:eastAsia="Consolas"/>
          <w:color w:val="232323"/>
          <w:sz w:val="16"/>
        </w:rPr>
        <w:t>├─ nvisc_result_normalizer.sv</w:t>
      </w:r>
      <w:r>
        <w:br/>
      </w:r>
      <w:r>
        <w:rPr>
          <w:rFonts w:ascii="Consolas" w:hAnsi="Consolas" w:eastAsia="Consolas"/>
          <w:color w:val="232323"/>
          <w:sz w:val="16"/>
        </w:rPr>
        <w:t>├─ nvisc_cross_domain_token_checker.sv</w:t>
      </w:r>
      <w:r>
        <w:br/>
      </w:r>
      <w:r>
        <w:rPr>
          <w:rFonts w:ascii="Consolas" w:hAnsi="Consolas" w:eastAsia="Consolas"/>
          <w:color w:val="232323"/>
          <w:sz w:val="16"/>
        </w:rPr>
        <w:t>├─ nvisc_path_trace_log.sv</w:t>
      </w:r>
      <w:r>
        <w:br/>
      </w:r>
      <w:r>
        <w:rPr>
          <w:rFonts w:ascii="Consolas" w:hAnsi="Consolas" w:eastAsia="Consolas"/>
          <w:color w:val="232323"/>
          <w:sz w:val="16"/>
        </w:rPr>
        <w:t>├─ nvisc_compat_decode_assist_stub.sv</w:t>
      </w:r>
      <w:r>
        <w:br/>
      </w:r>
      <w:r>
        <w:rPr>
          <w:rFonts w:ascii="Consolas" w:hAnsi="Consolas" w:eastAsia="Consolas"/>
          <w:color w:val="232323"/>
          <w:sz w:val="16"/>
        </w:rPr>
        <w:t>├─ nvisc_adaptive_execution_router.sv</w:t>
      </w:r>
      <w:r>
        <w:br/>
      </w:r>
      <w:r>
        <w:rPr>
          <w:rFonts w:ascii="Consolas" w:hAnsi="Consolas" w:eastAsia="Consolas"/>
          <w:color w:val="232323"/>
          <w:sz w:val="16"/>
        </w:rPr>
        <w:t>└─ tb_nvisc_adaptive_execution_router.sv</w:t>
      </w:r>
      <w:r>
        <w:br/>
      </w:r>
    </w:p>
    <w:p>
      <w:pPr>
        <w:pStyle w:val="Heading1"/>
      </w:pPr>
      <w:r>
        <w:t>13. Verification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360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3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Pass criteria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Scalar route smoke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Dispatch ALU-class uop.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AER selects scalar CPU/ALU path and emits valid dispatch.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Vector route smoke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Dispatch vectorizable uop.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AER selects vector/SIMD when vector unit is available.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Tensor route smoke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Dispatch matmul/tensor uop.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AER selects tensor/NPU and preserves branch/state IDs.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DSP route smoke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Dispatch FIR/FFT-class workload.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AER selects DSP when latency/power model prefers it.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GPU/SIMT route smoke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Dispatch parallel kernel.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AER selects GPU/SIMT if domain is available.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Thermal fallback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Mark preferred domain hot.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AER chooses fallback and logs reason.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Aegis quarantine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Inject high-risk operation.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AER routes to Aegis or blocks dispatch.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RSM rollback invalidation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Invalidate branch token during speculation.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Result normalizer rejects stale result.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Compatibility block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Decode foreign-ISA class.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AER maps semantics to best available physical domain.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Trace audit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Run mixed dispatch sequence.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Path trace includes instr_id, domain, reason, and token metadata.</w:t>
            </w:r>
          </w:p>
        </w:tc>
      </w:tr>
    </w:tbl>
    <w:p>
      <w:pPr>
        <w:pStyle w:val="Heading1"/>
      </w:pPr>
      <w:r>
        <w:t>14. Phase Placement and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8136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Phase 7A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Minimal in-order core spine: PC, fetch, decode, control, CSR, LSU stub, memory lanes.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Phase 7B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Load-store enforcement, predication, simple hazards, branch handling.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Phase 8A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Vector/SIMD and compiler metadata.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Phase 8B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Adaptive Physical Execution Fabric: AER, domain table, cost model, dispatch arbiter.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Phase 8C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Compatibility decode assist and OS/ISA personality hooks.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Phase 9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Superscalar dynamic sequence unit, uop queues, dependency checking, token scoreboard.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Phase 10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Out-of-order, register renaming, ROB, LSQ, branch prediction.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Phase 11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SMT and thread scheduling.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Phase 12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Caches, L3, NexusBus, memory controllers, ECC/scrubber.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Phase 13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Heterogeneous compute fabric: P-cores, E-cores, AI/NPU, DSP, GPU/SIMT.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Phase 14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Octa-core scaling with shared RSM/Aegis/L3 and inter-core coherency.</w:t>
            </w:r>
          </w:p>
        </w:tc>
      </w:tr>
    </w:tbl>
    <w:p>
      <w:pPr>
        <w:pStyle w:val="Heading1"/>
      </w:pPr>
      <w:r>
        <w:t>15. Final Design Rule</w:t>
      </w:r>
    </w:p>
    <w:p>
      <w:pPr>
        <w:pStyle w:val="CodeBlock"/>
      </w:pPr>
      <w:r>
        <w:rPr>
          <w:rFonts w:ascii="Consolas" w:hAnsi="Consolas" w:eastAsia="Consolas"/>
          <w:color w:val="232323"/>
          <w:sz w:val="16"/>
        </w:rPr>
        <w:t>Execution may move between hardware paths.</w:t>
      </w:r>
      <w:r>
        <w:br/>
      </w:r>
      <w:r>
        <w:rPr>
          <w:rFonts w:ascii="Consolas" w:hAnsi="Consolas" w:eastAsia="Consolas"/>
          <w:color w:val="232323"/>
          <w:sz w:val="16"/>
        </w:rPr>
        <w:t>Semantic identity must not change.</w:t>
      </w:r>
      <w:r>
        <w:br/>
      </w:r>
      <w:r>
        <w:rPr>
          <w:rFonts w:ascii="Consolas" w:hAnsi="Consolas" w:eastAsia="Consolas"/>
          <w:color w:val="232323"/>
          <w:sz w:val="16"/>
        </w:rPr>
      </w:r>
      <w:r>
        <w:br/>
      </w:r>
      <w:r>
        <w:rPr>
          <w:rFonts w:ascii="Consolas" w:hAnsi="Consolas" w:eastAsia="Consolas"/>
          <w:color w:val="232323"/>
          <w:sz w:val="16"/>
        </w:rPr>
        <w:t>Every selected physical path must preserve: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core_id, thread_id, branch_id, state_id, commit_id,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privilege, Aegis policy, RSM ownership,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memory domain, dependencies, and commit eligibility.</w:t>
      </w:r>
      <w:r>
        <w:br/>
      </w:r>
    </w:p>
    <w:p>
      <w:r>
        <w:t>The Adaptive Physical Execution Fabric turns Nexus-V into a self-auditing adaptive execution substrate: a system with multiple real physical execution domains that can dynamically choose the best route for an instruction or workload while preserving versioned-state correctness and Aegis-governed commit safety.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Nexus-V Adaptive Physical Execution Fabric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B55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59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