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Nexus-V Unified Interface Contract and Bring-Up Plan</w:t>
      </w:r>
    </w:p>
    <w:p>
      <w:pPr>
        <w:jc w:val="center"/>
      </w:pPr>
      <w:r>
        <w:rPr>
          <w:b/>
          <w:sz w:val="28"/>
        </w:rPr>
        <w:t>Phase 6 / v0.1</w:t>
      </w:r>
    </w:p>
    <w:p>
      <w:pPr>
        <w:jc w:val="center"/>
      </w:pPr>
      <w:r>
        <w:rPr>
          <w:i/>
        </w:rPr>
        <w:t>Purpose: merge Phase 0 through Phase 5 into one executable interface spine, then bring the SoC from static RTL blocks into a compileable, testable system.</w:t>
      </w:r>
    </w:p>
    <w:p>
      <w:pPr>
        <w:pStyle w:val="Heading1"/>
      </w:pPr>
      <w:r>
        <w:t>1. Phase 6 Objective</w:t>
      </w:r>
    </w:p>
    <w:p>
      <w:r>
        <w:t>Phase 6 stops subsystem expansion and forces the whole Nexus-V design to agree on common tokens, buses, epochs, fault codes, trace records, package names, and bring-up order. The goal is a single canonical source tree that can be linted, smoke-tested, and connected to the NVASM/NVIR/NVOBJ toolchain.</w:t>
      </w:r>
    </w:p>
    <w:p>
      <w:pPr>
        <w:pStyle w:val="CodeBlock"/>
      </w:pPr>
      <w:r>
        <w:rPr>
          <w:rFonts w:ascii="Consolas" w:hAnsi="Consolas"/>
          <w:sz w:val="16"/>
        </w:rPr>
        <w:t>NVASM program</w:t>
        <w:br/>
        <w:t xml:space="preserve">  -&gt; compiler bridge</w:t>
        <w:br/>
        <w:t xml:space="preserve">  -&gt; NVIR / NVOBJ / RTL vectors</w:t>
        <w:br/>
        <w:t xml:space="preserve">  -&gt; Nexus-V SoC testbench</w:t>
        <w:br/>
        <w:t xml:space="preserve">  -&gt; golden trace comparison</w:t>
        <w:br/>
        <w:t xml:space="preserve">  -&gt; regression report</w:t>
      </w:r>
    </w:p>
    <w:p>
      <w:pPr>
        <w:pStyle w:val="Heading1"/>
      </w:pPr>
      <w:r>
        <w:t>2. Canonical Repository Layout</w:t>
      </w:r>
    </w:p>
    <w:p>
      <w:pPr>
        <w:pStyle w:val="CodeBlock"/>
      </w:pPr>
      <w:r>
        <w:rPr>
          <w:rFonts w:ascii="Consolas" w:hAnsi="Consolas"/>
          <w:sz w:val="16"/>
        </w:rPr>
        <w:t>nexus-v/</w:t>
        <w:br/>
        <w:t>├─ docs/</w:t>
        <w:br/>
        <w:t>├─ rtl/</w:t>
        <w:br/>
        <w:t>│  ├─ common/</w:t>
        <w:br/>
        <w:t>│  ├─ core_phase0/</w:t>
        <w:br/>
        <w:t>│  ├─ rsm/</w:t>
        <w:br/>
        <w:t>│  ├─ aegis/</w:t>
        <w:br/>
        <w:t>│  ├─ topology/</w:t>
        <w:br/>
        <w:t>│  ├─ tensor/</w:t>
        <w:br/>
        <w:t>│  ├─ quantum/</w:t>
        <w:br/>
        <w:t>│  └─ soc/</w:t>
        <w:br/>
        <w:t>├─ toolchain/</w:t>
        <w:br/>
        <w:t>├─ programs/</w:t>
        <w:br/>
        <w:t>├─ tb/</w:t>
        <w:br/>
        <w:t>├─ schemas/</w:t>
        <w:br/>
        <w:t>├─ scripts/</w:t>
        <w:br/>
        <w:t>└─ reports/</w:t>
      </w:r>
    </w:p>
    <w:p>
      <w:pPr>
        <w:pStyle w:val="Heading1"/>
      </w:pPr>
      <w:r>
        <w:t>3. Unified Interface Contract</w:t>
      </w:r>
    </w:p>
    <w:p>
      <w:r>
        <w:t>Every subsystem must use the same canonical type definitions. If RSM emits a state token, Aegis, Tensor, Quantum, Topology, NVVM, and the scoreboard must interpret it identically. The common package is nvisc_common_pkg.sv.</w:t>
      </w:r>
    </w:p>
    <w:tbl>
      <w:tblPr>
        <w:tblStyle w:val="LightList-Accent1"/>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vAlign w:val="center"/>
          </w:tcPr>
          <w:p>
            <w:r>
              <w:rPr>
                <w:b/>
              </w:rPr>
              <w:t>Interface Object</w:t>
            </w:r>
          </w:p>
        </w:tc>
        <w:tc>
          <w:tcPr>
            <w:tcW w:type="dxa" w:w="2556"/>
            <w:shd w:fill="D9EAF7"/>
            <w:vAlign w:val="center"/>
          </w:tcPr>
          <w:p>
            <w:r>
              <w:rPr>
                <w:b/>
              </w:rPr>
              <w:t>Producer</w:t>
            </w:r>
          </w:p>
        </w:tc>
        <w:tc>
          <w:tcPr>
            <w:tcW w:type="dxa" w:w="2556"/>
            <w:shd w:fill="D9EAF7"/>
            <w:vAlign w:val="center"/>
          </w:tcPr>
          <w:p>
            <w:r>
              <w:rPr>
                <w:b/>
              </w:rPr>
              <w:t>Consumers</w:t>
            </w:r>
          </w:p>
        </w:tc>
        <w:tc>
          <w:tcPr>
            <w:tcW w:type="dxa" w:w="2556"/>
            <w:shd w:fill="D9EAF7"/>
            <w:vAlign w:val="center"/>
          </w:tcPr>
          <w:p>
            <w:r>
              <w:rPr>
                <w:b/>
              </w:rPr>
              <w:t>Purpose</w:t>
            </w:r>
          </w:p>
        </w:tc>
      </w:tr>
      <w:tr>
        <w:tc>
          <w:tcPr>
            <w:tcW w:type="dxa" w:w="2556"/>
            <w:vAlign w:val="top"/>
          </w:tcPr>
          <w:p>
            <w:r>
              <w:t>state_token</w:t>
            </w:r>
          </w:p>
        </w:tc>
        <w:tc>
          <w:tcPr>
            <w:tcW w:type="dxa" w:w="2556"/>
            <w:vAlign w:val="top"/>
          </w:tcPr>
          <w:p>
            <w:r>
              <w:t>RSM / core</w:t>
            </w:r>
          </w:p>
        </w:tc>
        <w:tc>
          <w:tcPr>
            <w:tcW w:type="dxa" w:w="2556"/>
            <w:vAlign w:val="top"/>
          </w:tcPr>
          <w:p>
            <w:r>
              <w:t>Aegis, Tensor, Quantum, Topology, Scoreboard</w:t>
            </w:r>
          </w:p>
        </w:tc>
        <w:tc>
          <w:tcPr>
            <w:tcW w:type="dxa" w:w="2556"/>
            <w:vAlign w:val="top"/>
          </w:tcPr>
          <w:p>
            <w:r>
              <w:t>Identifies active branch, state, commit, topology epoch, thermal epoch, domain, seal, and rollback validity.</w:t>
            </w:r>
          </w:p>
        </w:tc>
      </w:tr>
      <w:tr>
        <w:tc>
          <w:tcPr>
            <w:tcW w:type="dxa" w:w="2556"/>
            <w:vAlign w:val="top"/>
          </w:tcPr>
          <w:p>
            <w:r>
              <w:t>audit_token</w:t>
            </w:r>
          </w:p>
        </w:tc>
        <w:tc>
          <w:tcPr>
            <w:tcW w:type="dxa" w:w="2556"/>
            <w:vAlign w:val="top"/>
          </w:tcPr>
          <w:p>
            <w:r>
              <w:t>Aegis</w:t>
            </w:r>
          </w:p>
        </w:tc>
        <w:tc>
          <w:tcPr>
            <w:tcW w:type="dxa" w:w="2556"/>
            <w:vAlign w:val="top"/>
          </w:tcPr>
          <w:p>
            <w:r>
              <w:t>Commit Gate, RSM, Scoreboard</w:t>
            </w:r>
          </w:p>
        </w:tc>
        <w:tc>
          <w:tcPr>
            <w:tcW w:type="dxa" w:w="2556"/>
            <w:vAlign w:val="top"/>
          </w:tcPr>
          <w:p>
            <w:r>
              <w:t>Capability-bearing proof that a specific state/hash passed policy.</w:t>
            </w:r>
          </w:p>
        </w:tc>
      </w:tr>
      <w:tr>
        <w:tc>
          <w:tcPr>
            <w:tcW w:type="dxa" w:w="2556"/>
            <w:vAlign w:val="top"/>
          </w:tcPr>
          <w:p>
            <w:r>
              <w:t>route_token</w:t>
            </w:r>
          </w:p>
        </w:tc>
        <w:tc>
          <w:tcPr>
            <w:tcW w:type="dxa" w:w="2556"/>
            <w:vAlign w:val="top"/>
          </w:tcPr>
          <w:p>
            <w:r>
              <w:t>Topology Fabric</w:t>
            </w:r>
          </w:p>
        </w:tc>
        <w:tc>
          <w:tcPr>
            <w:tcW w:type="dxa" w:w="2556"/>
            <w:vAlign w:val="top"/>
          </w:tcPr>
          <w:p>
            <w:r>
              <w:t>Tensor, Quantum, Aegis, Trace</w:t>
            </w:r>
          </w:p>
        </w:tc>
        <w:tc>
          <w:tcPr>
            <w:tcW w:type="dxa" w:w="2556"/>
            <w:vAlign w:val="top"/>
          </w:tcPr>
          <w:p>
            <w:r>
              <w:t>Describes a topology route and its branch/state lineage.</w:t>
            </w:r>
          </w:p>
        </w:tc>
      </w:tr>
      <w:tr>
        <w:tc>
          <w:tcPr>
            <w:tcW w:type="dxa" w:w="2556"/>
            <w:vAlign w:val="top"/>
          </w:tcPr>
          <w:p>
            <w:r>
              <w:t>tensor_token</w:t>
            </w:r>
          </w:p>
        </w:tc>
        <w:tc>
          <w:tcPr>
            <w:tcW w:type="dxa" w:w="2556"/>
            <w:vAlign w:val="top"/>
          </w:tcPr>
          <w:p>
            <w:r>
              <w:t>Tensor/NPU Engine</w:t>
            </w:r>
          </w:p>
        </w:tc>
        <w:tc>
          <w:tcPr>
            <w:tcW w:type="dxa" w:w="2556"/>
            <w:vAlign w:val="top"/>
          </w:tcPr>
          <w:p>
            <w:r>
              <w:t>Aegis, RSM, Scoreboard</w:t>
            </w:r>
          </w:p>
        </w:tc>
        <w:tc>
          <w:tcPr>
            <w:tcW w:type="dxa" w:w="2556"/>
            <w:vAlign w:val="top"/>
          </w:tcPr>
          <w:p>
            <w:r>
              <w:t>Describes a tensor result bound to branch/state and numeric-integrity status.</w:t>
            </w:r>
          </w:p>
        </w:tc>
      </w:tr>
      <w:tr>
        <w:tc>
          <w:tcPr>
            <w:tcW w:type="dxa" w:w="2556"/>
            <w:vAlign w:val="top"/>
          </w:tcPr>
          <w:p>
            <w:r>
              <w:t>quantum_token</w:t>
            </w:r>
          </w:p>
        </w:tc>
        <w:tc>
          <w:tcPr>
            <w:tcW w:type="dxa" w:w="2556"/>
            <w:vAlign w:val="top"/>
          </w:tcPr>
          <w:p>
            <w:r>
              <w:t>Quantum Domain</w:t>
            </w:r>
          </w:p>
        </w:tc>
        <w:tc>
          <w:tcPr>
            <w:tcW w:type="dxa" w:w="2556"/>
            <w:vAlign w:val="top"/>
          </w:tcPr>
          <w:p>
            <w:r>
              <w:t>Aegis, RSM, Scoreboard</w:t>
            </w:r>
          </w:p>
        </w:tc>
        <w:tc>
          <w:tcPr>
            <w:tcW w:type="dxa" w:w="2556"/>
            <w:vAlign w:val="top"/>
          </w:tcPr>
          <w:p>
            <w:r>
              <w:t>Describes measured/synced quantum result and validity.</w:t>
            </w:r>
          </w:p>
        </w:tc>
      </w:tr>
      <w:tr>
        <w:tc>
          <w:tcPr>
            <w:tcW w:type="dxa" w:w="2556"/>
            <w:vAlign w:val="top"/>
          </w:tcPr>
          <w:p>
            <w:r>
              <w:t>soc_status</w:t>
            </w:r>
          </w:p>
        </w:tc>
        <w:tc>
          <w:tcPr>
            <w:tcW w:type="dxa" w:w="2556"/>
            <w:vAlign w:val="top"/>
          </w:tcPr>
          <w:p>
            <w:r>
              <w:t>SoC wrapper</w:t>
            </w:r>
          </w:p>
        </w:tc>
        <w:tc>
          <w:tcPr>
            <w:tcW w:type="dxa" w:w="2556"/>
            <w:vAlign w:val="top"/>
          </w:tcPr>
          <w:p>
            <w:r>
              <w:t>Testbench, Monitor, Driver</w:t>
            </w:r>
          </w:p>
        </w:tc>
        <w:tc>
          <w:tcPr>
            <w:tcW w:type="dxa" w:w="2556"/>
            <w:vAlign w:val="top"/>
          </w:tcPr>
          <w:p>
            <w:r>
              <w:t>Top-level readiness, trust score, active IDs, and fault summary.</w:t>
            </w:r>
          </w:p>
        </w:tc>
      </w:tr>
    </w:tbl>
    <w:p>
      <w:pPr>
        <w:pStyle w:val="Heading1"/>
      </w:pPr>
      <w:r>
        <w:t>4. Canonical Shared Enums and Fault Codes</w:t>
      </w:r>
    </w:p>
    <w:p>
      <w:r>
        <w:t>Phase 6 defines canonical domain IDs, route policies, commit result codes, QSIM/QHW modes, and fault codes. Subsystems may define local aliases only if they map losslessly to these values.</w:t>
      </w:r>
    </w:p>
    <w:p>
      <w:pPr>
        <w:pStyle w:val="CodeBlock"/>
      </w:pPr>
      <w:r>
        <w:rPr>
          <w:rFonts w:ascii="Consolas" w:hAnsi="Consolas"/>
          <w:sz w:val="16"/>
        </w:rPr>
        <w:t>domain: BIN, TERN, QUAD, NSTATE, DEC, FLOAT, TENSOR, STATE, QSIM, QHW, HYBRID, AEGIS, TOPOLOGY</w:t>
        <w:br/>
        <w:t>route_policy: ROUTE_FAST, ROUTE_SAFE, ROUTE_COOL, ROUTE_LOW_POWER, ROUTE_REDUNDANT</w:t>
        <w:br/>
        <w:t>commit_result: COMMIT_NONE, COMMIT_ALLOW, COMMIT_DENY, COMMIT_REFUSE, COMMIT_QUARANTINE, COMMIT_ROLLBACK</w:t>
        <w:br/>
        <w:t>qmode: QMODE_NONE, QMODE_QSIM, QMODE_QHW</w:t>
        <w:br/>
        <w:t>fault families: RSM, AEGIS, ROUTE, TENSOR, QUANTUM, PRIVILEGE, STALE_TOKEN</w:t>
      </w:r>
    </w:p>
    <w:p>
      <w:pPr>
        <w:pStyle w:val="Heading1"/>
      </w:pPr>
      <w:r>
        <w:t>5. Bring-Up Sequence</w:t>
      </w:r>
    </w:p>
    <w:tbl>
      <w:tblPr>
        <w:tblStyle w:val="LightList-Accent1"/>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vAlign w:val="center"/>
          </w:tcPr>
          <w:p>
            <w:r>
              <w:rPr>
                <w:b/>
              </w:rPr>
              <w:t>Step</w:t>
            </w:r>
          </w:p>
        </w:tc>
        <w:tc>
          <w:tcPr>
            <w:tcW w:type="dxa" w:w="2556"/>
            <w:shd w:fill="D9EAF7"/>
            <w:vAlign w:val="center"/>
          </w:tcPr>
          <w:p>
            <w:r>
              <w:rPr>
                <w:b/>
              </w:rPr>
              <w:t>Name</w:t>
            </w:r>
          </w:p>
        </w:tc>
        <w:tc>
          <w:tcPr>
            <w:tcW w:type="dxa" w:w="2556"/>
            <w:shd w:fill="D9EAF7"/>
            <w:vAlign w:val="center"/>
          </w:tcPr>
          <w:p>
            <w:r>
              <w:rPr>
                <w:b/>
              </w:rPr>
              <w:t>Subsystems</w:t>
            </w:r>
          </w:p>
        </w:tc>
        <w:tc>
          <w:tcPr>
            <w:tcW w:type="dxa" w:w="2556"/>
            <w:shd w:fill="D9EAF7"/>
            <w:vAlign w:val="center"/>
          </w:tcPr>
          <w:p>
            <w:r>
              <w:rPr>
                <w:b/>
              </w:rPr>
              <w:t>Pass Condition</w:t>
            </w:r>
          </w:p>
        </w:tc>
      </w:tr>
      <w:tr>
        <w:tc>
          <w:tcPr>
            <w:tcW w:type="dxa" w:w="2556"/>
            <w:vAlign w:val="top"/>
          </w:tcPr>
          <w:p>
            <w:r>
              <w:t>1</w:t>
            </w:r>
          </w:p>
        </w:tc>
        <w:tc>
          <w:tcPr>
            <w:tcW w:type="dxa" w:w="2556"/>
            <w:vAlign w:val="top"/>
          </w:tcPr>
          <w:p>
            <w:r>
              <w:t>Reset smoke</w:t>
            </w:r>
          </w:p>
        </w:tc>
        <w:tc>
          <w:tcPr>
            <w:tcW w:type="dxa" w:w="2556"/>
            <w:vAlign w:val="top"/>
          </w:tcPr>
          <w:p>
            <w:r>
              <w:t>SoC wrapper, common package</w:t>
            </w:r>
          </w:p>
        </w:tc>
        <w:tc>
          <w:tcPr>
            <w:tcW w:type="dxa" w:w="2556"/>
            <w:vAlign w:val="top"/>
          </w:tcPr>
          <w:p>
            <w:r>
              <w:t>soc_status valid; all ready bits asserted; active branch/state zero.</w:t>
            </w:r>
          </w:p>
        </w:tc>
      </w:tr>
      <w:tr>
        <w:tc>
          <w:tcPr>
            <w:tcW w:type="dxa" w:w="2556"/>
            <w:vAlign w:val="top"/>
          </w:tcPr>
          <w:p>
            <w:r>
              <w:t>2</w:t>
            </w:r>
          </w:p>
        </w:tc>
        <w:tc>
          <w:tcPr>
            <w:tcW w:type="dxa" w:w="2556"/>
            <w:vAlign w:val="top"/>
          </w:tcPr>
          <w:p>
            <w:r>
              <w:t>ALU + state token</w:t>
            </w:r>
          </w:p>
        </w:tc>
        <w:tc>
          <w:tcPr>
            <w:tcW w:type="dxa" w:w="2556"/>
            <w:vAlign w:val="top"/>
          </w:tcPr>
          <w:p>
            <w:r>
              <w:t>Phase 0 core</w:t>
            </w:r>
          </w:p>
        </w:tc>
        <w:tc>
          <w:tcPr>
            <w:tcW w:type="dxa" w:w="2556"/>
            <w:vAlign w:val="top"/>
          </w:tcPr>
          <w:p>
            <w:r>
              <w:t>ALU operation changes state token as expected.</w:t>
            </w:r>
          </w:p>
        </w:tc>
      </w:tr>
      <w:tr>
        <w:tc>
          <w:tcPr>
            <w:tcW w:type="dxa" w:w="2556"/>
            <w:vAlign w:val="top"/>
          </w:tcPr>
          <w:p>
            <w:r>
              <w:t>3</w:t>
            </w:r>
          </w:p>
        </w:tc>
        <w:tc>
          <w:tcPr>
            <w:tcW w:type="dxa" w:w="2556"/>
            <w:vAlign w:val="top"/>
          </w:tcPr>
          <w:p>
            <w:r>
              <w:t>RSM rollback</w:t>
            </w:r>
          </w:p>
        </w:tc>
        <w:tc>
          <w:tcPr>
            <w:tcW w:type="dxa" w:w="2556"/>
            <w:vAlign w:val="top"/>
          </w:tcPr>
          <w:p>
            <w:r>
              <w:t>RSM, COW, rollback FSM</w:t>
            </w:r>
          </w:p>
        </w:tc>
        <w:tc>
          <w:tcPr>
            <w:tcW w:type="dxa" w:w="2556"/>
            <w:vAlign w:val="top"/>
          </w:tcPr>
          <w:p>
            <w:r>
              <w:t>COW allocates private page; rollback swaps pointer root.</w:t>
            </w:r>
          </w:p>
        </w:tc>
      </w:tr>
      <w:tr>
        <w:tc>
          <w:tcPr>
            <w:tcW w:type="dxa" w:w="2556"/>
            <w:vAlign w:val="top"/>
          </w:tcPr>
          <w:p>
            <w:r>
              <w:t>4</w:t>
            </w:r>
          </w:p>
        </w:tc>
        <w:tc>
          <w:tcPr>
            <w:tcW w:type="dxa" w:w="2556"/>
            <w:vAlign w:val="top"/>
          </w:tcPr>
          <w:p>
            <w:r>
              <w:t>Aegis commit</w:t>
            </w:r>
          </w:p>
        </w:tc>
        <w:tc>
          <w:tcPr>
            <w:tcW w:type="dxa" w:w="2556"/>
            <w:vAlign w:val="top"/>
          </w:tcPr>
          <w:p>
            <w:r>
              <w:t>Aegis, RSM seal ports</w:t>
            </w:r>
          </w:p>
        </w:tc>
        <w:tc>
          <w:tcPr>
            <w:tcW w:type="dxa" w:w="2556"/>
            <w:vAlign w:val="top"/>
          </w:tcPr>
          <w:p>
            <w:r>
              <w:t>Unaudited commit denied; audited clean commit sealed.</w:t>
            </w:r>
          </w:p>
        </w:tc>
      </w:tr>
      <w:tr>
        <w:tc>
          <w:tcPr>
            <w:tcW w:type="dxa" w:w="2556"/>
            <w:vAlign w:val="top"/>
          </w:tcPr>
          <w:p>
            <w:r>
              <w:t>5</w:t>
            </w:r>
          </w:p>
        </w:tc>
        <w:tc>
          <w:tcPr>
            <w:tcW w:type="dxa" w:w="2556"/>
            <w:vAlign w:val="top"/>
          </w:tcPr>
          <w:p>
            <w:r>
              <w:t>Topology token</w:t>
            </w:r>
          </w:p>
        </w:tc>
        <w:tc>
          <w:tcPr>
            <w:tcW w:type="dxa" w:w="2556"/>
            <w:vAlign w:val="top"/>
          </w:tcPr>
          <w:p>
            <w:r>
              <w:t>Topology fabric</w:t>
            </w:r>
          </w:p>
        </w:tc>
        <w:tc>
          <w:tcPr>
            <w:tcW w:type="dxa" w:w="2556"/>
            <w:vAlign w:val="top"/>
          </w:tcPr>
          <w:p>
            <w:r>
              <w:t>Route token preserves branch/state and path reaches target.</w:t>
            </w:r>
          </w:p>
        </w:tc>
      </w:tr>
      <w:tr>
        <w:tc>
          <w:tcPr>
            <w:tcW w:type="dxa" w:w="2556"/>
            <w:vAlign w:val="top"/>
          </w:tcPr>
          <w:p>
            <w:r>
              <w:t>6</w:t>
            </w:r>
          </w:p>
        </w:tc>
        <w:tc>
          <w:tcPr>
            <w:tcW w:type="dxa" w:w="2556"/>
            <w:vAlign w:val="top"/>
          </w:tcPr>
          <w:p>
            <w:r>
              <w:t>Tensor route</w:t>
            </w:r>
          </w:p>
        </w:tc>
        <w:tc>
          <w:tcPr>
            <w:tcW w:type="dxa" w:w="2556"/>
            <w:vAlign w:val="top"/>
          </w:tcPr>
          <w:p>
            <w:r>
              <w:t>Tensor, topology, Aegis</w:t>
            </w:r>
          </w:p>
        </w:tc>
        <w:tc>
          <w:tcPr>
            <w:tcW w:type="dxa" w:w="2556"/>
            <w:vAlign w:val="top"/>
          </w:tcPr>
          <w:p>
            <w:r>
              <w:t>TMATMUL routes tiles, validates numeric result, requests audit.</w:t>
            </w:r>
          </w:p>
        </w:tc>
      </w:tr>
      <w:tr>
        <w:tc>
          <w:tcPr>
            <w:tcW w:type="dxa" w:w="2556"/>
            <w:vAlign w:val="top"/>
          </w:tcPr>
          <w:p>
            <w:r>
              <w:t>7</w:t>
            </w:r>
          </w:p>
        </w:tc>
        <w:tc>
          <w:tcPr>
            <w:tcW w:type="dxa" w:w="2556"/>
            <w:vAlign w:val="top"/>
          </w:tcPr>
          <w:p>
            <w:r>
              <w:t>Quantum bridge</w:t>
            </w:r>
          </w:p>
        </w:tc>
        <w:tc>
          <w:tcPr>
            <w:tcW w:type="dxa" w:w="2556"/>
            <w:vAlign w:val="top"/>
          </w:tcPr>
          <w:p>
            <w:r>
              <w:t>Quantum, Aegis, RSM</w:t>
            </w:r>
          </w:p>
        </w:tc>
        <w:tc>
          <w:tcPr>
            <w:tcW w:type="dxa" w:w="2556"/>
            <w:vAlign w:val="top"/>
          </w:tcPr>
          <w:p>
            <w:r>
              <w:t>QMEASURE collapses, QSYNC exposes result, QAUDIT gates commit.</w:t>
            </w:r>
          </w:p>
        </w:tc>
      </w:tr>
      <w:tr>
        <w:tc>
          <w:tcPr>
            <w:tcW w:type="dxa" w:w="2556"/>
            <w:vAlign w:val="top"/>
          </w:tcPr>
          <w:p>
            <w:r>
              <w:t>8</w:t>
            </w:r>
          </w:p>
        </w:tc>
        <w:tc>
          <w:tcPr>
            <w:tcW w:type="dxa" w:w="2556"/>
            <w:vAlign w:val="top"/>
          </w:tcPr>
          <w:p>
            <w:r>
              <w:t>Full regression</w:t>
            </w:r>
          </w:p>
        </w:tc>
        <w:tc>
          <w:tcPr>
            <w:tcW w:type="dxa" w:w="2556"/>
            <w:vAlign w:val="top"/>
          </w:tcPr>
          <w:p>
            <w:r>
              <w:t>All subsystems</w:t>
            </w:r>
          </w:p>
        </w:tc>
        <w:tc>
          <w:tcPr>
            <w:tcW w:type="dxa" w:w="2556"/>
            <w:vAlign w:val="top"/>
          </w:tcPr>
          <w:p>
            <w:r>
              <w:t>06_full_system_ai_versioned_secure passes scoreboard and trace comparison.</w:t>
            </w:r>
          </w:p>
        </w:tc>
      </w:tr>
    </w:tbl>
    <w:p>
      <w:pPr>
        <w:pStyle w:val="Heading1"/>
      </w:pPr>
      <w:r>
        <w:t>6. Lint and Build Plan</w:t>
      </w:r>
    </w:p>
    <w:p>
      <w:r>
        <w:t>The first hard engineering gate is lint. The canonical tree should run with Verilator lint-only before any new feature work continues.</w:t>
      </w:r>
    </w:p>
    <w:p>
      <w:pPr>
        <w:pStyle w:val="CodeBlock"/>
      </w:pPr>
      <w:r>
        <w:rPr>
          <w:rFonts w:ascii="Consolas" w:hAnsi="Consolas"/>
          <w:sz w:val="16"/>
        </w:rPr>
        <w:t>python scripts/run_lint.py --root . --top tb_nexus_v_soc_smoke</w:t>
        <w:br/>
        <w:t># Expected early failure mode:</w:t>
        <w:br/>
        <w:t># - missing packages</w:t>
        <w:br/>
        <w:t># - module port mismatch</w:t>
        <w:br/>
        <w:t># - enum width mismatch</w:t>
        <w:br/>
        <w:t># - incompatible struct definitions</w:t>
        <w:br/>
        <w:t># - undefined token types</w:t>
        <w:br/>
        <w:t># Phase 6 objective is to drive this to zero.</w:t>
      </w:r>
    </w:p>
    <w:p>
      <w:pPr>
        <w:pStyle w:val="Heading1"/>
      </w:pPr>
      <w:r>
        <w:t>7. Golden Trace Format</w:t>
      </w:r>
    </w:p>
    <w:p>
      <w:r>
        <w:t>NVVM, NVRT, RTL monitors, and the scoreboard must share one trace schema. Each event records the cycle, event type, branch/state/commit IDs, token ID, fault code, and event payload. This is the bridge between software simulation and RTL verification.</w:t>
      </w:r>
    </w:p>
    <w:p>
      <w:pPr>
        <w:pStyle w:val="CodeBlock"/>
      </w:pPr>
      <w:r>
        <w:rPr>
          <w:rFonts w:ascii="Consolas" w:hAnsi="Consolas"/>
          <w:sz w:val="16"/>
        </w:rPr>
        <w:t>{</w:t>
        <w:br/>
        <w:t xml:space="preserve">  "test_name": "04_tensor_aegis_rsm",</w:t>
        <w:br/>
        <w:t xml:space="preserve">  "cycles": 640,</w:t>
        <w:br/>
        <w:t xml:space="preserve">  "events": [</w:t>
        <w:br/>
        <w:t xml:space="preserve">    {</w:t>
        <w:br/>
        <w:t xml:space="preserve">      "cycle": 21,</w:t>
        <w:br/>
        <w:t xml:space="preserve">      "type": "BRANCH_CREATE",</w:t>
        <w:br/>
        <w:t xml:space="preserve">      "branch_id": 1,</w:t>
        <w:br/>
        <w:t xml:space="preserve">      "state_id": 1</w:t>
        <w:br/>
        <w:t xml:space="preserve">    },</w:t>
        <w:br/>
        <w:t xml:space="preserve">    {</w:t>
        <w:br/>
        <w:t xml:space="preserve">      "cycle": 132,</w:t>
        <w:br/>
        <w:t xml:space="preserve">      "type": "TENSOR_JOB_DONE",</w:t>
        <w:br/>
        <w:t xml:space="preserve">      "branch_id": 1,</w:t>
        <w:br/>
        <w:t xml:space="preserve">      "state_id": 3,</w:t>
        <w:br/>
        <w:t xml:space="preserve">      "payload": {</w:t>
        <w:br/>
        <w:t xml:space="preserve">        "numeric_ok": true</w:t>
        <w:br/>
        <w:t xml:space="preserve">      }</w:t>
        <w:br/>
        <w:t xml:space="preserve">    },</w:t>
        <w:br/>
        <w:t xml:space="preserve">    {</w:t>
        <w:br/>
        <w:t xml:space="preserve">      "cycle": 180,</w:t>
        <w:br/>
        <w:t xml:space="preserve">      "type": "AEGIS_AUDIT_ALLOW",</w:t>
        <w:br/>
        <w:t xml:space="preserve">      "token_id": 9,</w:t>
        <w:br/>
        <w:t xml:space="preserve">      "state_id": 4</w:t>
        <w:br/>
        <w:t xml:space="preserve">    },</w:t>
        <w:br/>
        <w:t xml:space="preserve">    {</w:t>
        <w:br/>
        <w:t xml:space="preserve">      "cycle": 190,</w:t>
        <w:br/>
        <w:t xml:space="preserve">      "type": "COMMIT",</w:t>
        <w:br/>
        <w:t xml:space="preserve">      "branch_id": 1,</w:t>
        <w:br/>
        <w:t xml:space="preserve">      "state_id": 4,</w:t>
        <w:br/>
        <w:t xml:space="preserve">      "commit_id": 2</w:t>
        <w:br/>
        <w:t xml:space="preserve">    }</w:t>
        <w:br/>
        <w:t xml:space="preserve">  ]</w:t>
        <w:br/>
        <w:t>}</w:t>
      </w:r>
    </w:p>
    <w:p>
      <w:pPr>
        <w:pStyle w:val="Heading1"/>
      </w:pPr>
      <w:r>
        <w:t>8. Hardware-Plan Capability Pre-Audit</w:t>
      </w:r>
    </w:p>
    <w:p>
      <w:r>
        <w:t>The unified interface must preserve every capability established by the hardware plan: 3D/depth-parallel compute, Git-like states, more-than-binary domains, RSM rollback, Aegis safeguard auditing, anti-cheat/privacy proof, topology/polyhedral routing, tensor/NPU execution, thermal/error handling, and QSIM/QHW quantum bridging.</w:t>
      </w:r>
    </w:p>
    <w:tbl>
      <w:tblPr>
        <w:tblStyle w:val="LightList-Accent1"/>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Hardware-plan capability</w:t>
            </w:r>
          </w:p>
        </w:tc>
        <w:tc>
          <w:tcPr>
            <w:tcW w:type="dxa" w:w="3408"/>
            <w:shd w:fill="D9EAF7"/>
            <w:vAlign w:val="center"/>
          </w:tcPr>
          <w:p>
            <w:r>
              <w:rPr>
                <w:b/>
              </w:rPr>
              <w:t>Interface contract requirement</w:t>
            </w:r>
          </w:p>
        </w:tc>
        <w:tc>
          <w:tcPr>
            <w:tcW w:type="dxa" w:w="3408"/>
            <w:shd w:fill="D9EAF7"/>
            <w:vAlign w:val="center"/>
          </w:tcPr>
          <w:p>
            <w:r>
              <w:rPr>
                <w:b/>
              </w:rPr>
              <w:t>Phase coverage</w:t>
            </w:r>
          </w:p>
        </w:tc>
      </w:tr>
      <w:tr>
        <w:tc>
          <w:tcPr>
            <w:tcW w:type="dxa" w:w="3408"/>
            <w:vAlign w:val="top"/>
          </w:tcPr>
          <w:p>
            <w:r>
              <w:t>3D/depth-parallel state compute</w:t>
            </w:r>
          </w:p>
        </w:tc>
        <w:tc>
          <w:tcPr>
            <w:tcW w:type="dxa" w:w="3408"/>
            <w:vAlign w:val="top"/>
          </w:tcPr>
          <w:p>
            <w:r>
              <w:t>route_token + topology_epoch + state_token</w:t>
            </w:r>
          </w:p>
        </w:tc>
        <w:tc>
          <w:tcPr>
            <w:tcW w:type="dxa" w:w="3408"/>
            <w:vAlign w:val="top"/>
          </w:tcPr>
          <w:p>
            <w:r>
              <w:t>Phase 0, 3, 4, SoC</w:t>
            </w:r>
          </w:p>
        </w:tc>
      </w:tr>
      <w:tr>
        <w:tc>
          <w:tcPr>
            <w:tcW w:type="dxa" w:w="3408"/>
            <w:vAlign w:val="top"/>
          </w:tcPr>
          <w:p>
            <w:r>
              <w:t>Git-like branch/rollback</w:t>
            </w:r>
          </w:p>
        </w:tc>
        <w:tc>
          <w:tcPr>
            <w:tcW w:type="dxa" w:w="3408"/>
            <w:vAlign w:val="top"/>
          </w:tcPr>
          <w:p>
            <w:r>
              <w:t>state_token + branch/state metadata + rollback trace events</w:t>
            </w:r>
          </w:p>
        </w:tc>
        <w:tc>
          <w:tcPr>
            <w:tcW w:type="dxa" w:w="3408"/>
            <w:vAlign w:val="top"/>
          </w:tcPr>
          <w:p>
            <w:r>
              <w:t>Phase 1 RSM</w:t>
            </w:r>
          </w:p>
        </w:tc>
      </w:tr>
      <w:tr>
        <w:tc>
          <w:tcPr>
            <w:tcW w:type="dxa" w:w="3408"/>
            <w:vAlign w:val="top"/>
          </w:tcPr>
          <w:p>
            <w:r>
              <w:t>More-than-binary logic</w:t>
            </w:r>
          </w:p>
        </w:tc>
        <w:tc>
          <w:tcPr>
            <w:tcW w:type="dxa" w:w="3408"/>
            <w:vAlign w:val="top"/>
          </w:tcPr>
          <w:p>
            <w:r>
              <w:t>domain enum supports TERN, QUAD, NSTATE, DEC, TENSOR, QSIM/QHW</w:t>
            </w:r>
          </w:p>
        </w:tc>
        <w:tc>
          <w:tcPr>
            <w:tcW w:type="dxa" w:w="3408"/>
            <w:vAlign w:val="top"/>
          </w:tcPr>
          <w:p>
            <w:r>
              <w:t>NVASM, NVIR, RTL common package</w:t>
            </w:r>
          </w:p>
        </w:tc>
      </w:tr>
      <w:tr>
        <w:tc>
          <w:tcPr>
            <w:tcW w:type="dxa" w:w="3408"/>
            <w:vAlign w:val="top"/>
          </w:tcPr>
          <w:p>
            <w:r>
              <w:t>Aegis safeguards</w:t>
            </w:r>
          </w:p>
        </w:tc>
        <w:tc>
          <w:tcPr>
            <w:tcW w:type="dxa" w:w="3408"/>
            <w:vAlign w:val="top"/>
          </w:tcPr>
          <w:p>
            <w:r>
              <w:t>audit_token + commit_result + trust_score + quarantine/refuse states</w:t>
            </w:r>
          </w:p>
        </w:tc>
        <w:tc>
          <w:tcPr>
            <w:tcW w:type="dxa" w:w="3408"/>
            <w:vAlign w:val="top"/>
          </w:tcPr>
          <w:p>
            <w:r>
              <w:t>Aegis Phase 1</w:t>
            </w:r>
          </w:p>
        </w:tc>
      </w:tr>
      <w:tr>
        <w:tc>
          <w:tcPr>
            <w:tcW w:type="dxa" w:w="3408"/>
            <w:vAlign w:val="top"/>
          </w:tcPr>
          <w:p>
            <w:r>
              <w:t>Anti-cheat/privacy proof</w:t>
            </w:r>
          </w:p>
        </w:tc>
        <w:tc>
          <w:tcPr>
            <w:tcW w:type="dxa" w:w="3408"/>
            <w:vAlign w:val="top"/>
          </w:tcPr>
          <w:p>
            <w:r>
              <w:t>MINREP-safe report path and no raw-memory trace fields</w:t>
            </w:r>
          </w:p>
        </w:tc>
        <w:tc>
          <w:tcPr>
            <w:tcW w:type="dxa" w:w="3408"/>
            <w:vAlign w:val="top"/>
          </w:tcPr>
          <w:p>
            <w:r>
              <w:t>Aegis + regression</w:t>
            </w:r>
          </w:p>
        </w:tc>
      </w:tr>
      <w:tr>
        <w:tc>
          <w:tcPr>
            <w:tcW w:type="dxa" w:w="3408"/>
            <w:vAlign w:val="top"/>
          </w:tcPr>
          <w:p>
            <w:r>
              <w:t>Tensor/NPU execution</w:t>
            </w:r>
          </w:p>
        </w:tc>
        <w:tc>
          <w:tcPr>
            <w:tcW w:type="dxa" w:w="3408"/>
            <w:vAlign w:val="top"/>
          </w:tcPr>
          <w:p>
            <w:r>
              <w:t>tensor_token + topology route integration + numeric_ok</w:t>
            </w:r>
          </w:p>
        </w:tc>
        <w:tc>
          <w:tcPr>
            <w:tcW w:type="dxa" w:w="3408"/>
            <w:vAlign w:val="top"/>
          </w:tcPr>
          <w:p>
            <w:r>
              <w:t>Phase 4</w:t>
            </w:r>
          </w:p>
        </w:tc>
      </w:tr>
      <w:tr>
        <w:tc>
          <w:tcPr>
            <w:tcW w:type="dxa" w:w="3408"/>
            <w:vAlign w:val="top"/>
          </w:tcPr>
          <w:p>
            <w:r>
              <w:t>Hybrid quantum</w:t>
            </w:r>
          </w:p>
        </w:tc>
        <w:tc>
          <w:tcPr>
            <w:tcW w:type="dxa" w:w="3408"/>
            <w:vAlign w:val="top"/>
          </w:tcPr>
          <w:p>
            <w:r>
              <w:t>quantum_token + QSIM/QHW + QSYNC/QAUDIT gating</w:t>
            </w:r>
          </w:p>
        </w:tc>
        <w:tc>
          <w:tcPr>
            <w:tcW w:type="dxa" w:w="3408"/>
            <w:vAlign w:val="top"/>
          </w:tcPr>
          <w:p>
            <w:r>
              <w:t>Phase 5</w:t>
            </w:r>
          </w:p>
        </w:tc>
      </w:tr>
      <w:tr>
        <w:tc>
          <w:tcPr>
            <w:tcW w:type="dxa" w:w="3408"/>
            <w:vAlign w:val="top"/>
          </w:tcPr>
          <w:p>
            <w:r>
              <w:t>Thermal/error constraints</w:t>
            </w:r>
          </w:p>
        </w:tc>
        <w:tc>
          <w:tcPr>
            <w:tcW w:type="dxa" w:w="3408"/>
            <w:vAlign w:val="top"/>
          </w:tcPr>
          <w:p>
            <w:r>
              <w:t>thermal_epoch + fault codes + stale-token invalidation</w:t>
            </w:r>
          </w:p>
        </w:tc>
        <w:tc>
          <w:tcPr>
            <w:tcW w:type="dxa" w:w="3408"/>
            <w:vAlign w:val="top"/>
          </w:tcPr>
          <w:p>
            <w:r>
              <w:t>Topology, Tensor, Quantum, RSM</w:t>
            </w:r>
          </w:p>
        </w:tc>
      </w:tr>
    </w:tbl>
    <w:p>
      <w:pPr>
        <w:pStyle w:val="Heading1"/>
      </w:pPr>
      <w:r>
        <w:t>9. First End-to-End Program</w:t>
      </w:r>
    </w:p>
    <w:p>
      <w:r>
        <w:t>The canonical full-system program remains 06_full_system_ai_versioned_secure.nvasm. Phase 6 treats it as the final bring-up target, not the first test. It should be compiled only after the reset, RSM, Aegis, topology, tensor, and quantum smaller tests pass.</w:t>
      </w:r>
    </w:p>
    <w:p>
      <w:pPr>
        <w:pStyle w:val="CodeBlock"/>
      </w:pPr>
      <w:r>
        <w:rPr>
          <w:rFonts w:ascii="Consolas" w:hAnsi="Consolas"/>
          <w:sz w:val="16"/>
        </w:rPr>
        <w:t>Bring-up order:</w:t>
        <w:br/>
        <w:t>00_basic_soc_boot</w:t>
        <w:br/>
        <w:t>01_rsm_branch_rollback</w:t>
        <w:br/>
        <w:t>02_aegis_commit_gate</w:t>
        <w:br/>
        <w:t>03_topology_route_fabric</w:t>
        <w:br/>
        <w:t>04_tensor_aegis_rsm</w:t>
        <w:br/>
        <w:t>05_quantum_sync_audit</w:t>
        <w:br/>
        <w:t>06_full_system_ai_versioned_secure</w:t>
      </w:r>
    </w:p>
    <w:p>
      <w:pPr>
        <w:pStyle w:val="Heading1"/>
      </w:pPr>
      <w:r>
        <w:t>10. Phase 6 Deliverables</w:t>
      </w:r>
    </w:p>
    <w:p>
      <w:pPr>
        <w:pStyle w:val="Heading2"/>
      </w:pPr>
      <w:r>
        <w:t>Deliverable checklist</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1440"/>
            <w:shd w:fill="D9EAF7"/>
            <w:vAlign w:val="center"/>
          </w:tcPr>
          <w:p>
            <w:r>
              <w:rPr>
                <w:b/>
              </w:rPr>
              <w:t>Status</w:t>
            </w:r>
          </w:p>
        </w:tc>
        <w:tc>
          <w:tcPr>
            <w:tcW w:type="dxa" w:w="8352"/>
            <w:shd w:fill="D9EAF7"/>
            <w:vAlign w:val="center"/>
          </w:tcPr>
          <w:p>
            <w:r>
              <w:rPr>
                <w:b/>
              </w:rPr>
              <w:t>Requirement</w:t>
            </w:r>
          </w:p>
        </w:tc>
      </w:tr>
      <w:tr>
        <w:tc>
          <w:tcPr>
            <w:tcW w:type="dxa" w:w="1440"/>
            <w:vAlign w:val="top"/>
          </w:tcPr>
          <w:p>
            <w:r>
              <w:rPr>
                <w:b/>
              </w:rPr>
              <w:t>Complete</w:t>
            </w:r>
          </w:p>
        </w:tc>
        <w:tc>
          <w:tcPr>
            <w:tcW w:type="dxa" w:w="8352"/>
            <w:vAlign w:val="top"/>
          </w:tcPr>
          <w:p>
            <w:r>
              <w:t>[x] Nexus-V Unified Interface Contract document exists</w:t>
            </w:r>
          </w:p>
        </w:tc>
      </w:tr>
      <w:tr>
        <w:tc>
          <w:tcPr>
            <w:tcW w:type="dxa" w:w="1440"/>
            <w:vAlign w:val="top"/>
          </w:tcPr>
          <w:p>
            <w:r>
              <w:rPr>
                <w:b/>
              </w:rPr>
              <w:t>Complete</w:t>
            </w:r>
          </w:p>
        </w:tc>
        <w:tc>
          <w:tcPr>
            <w:tcW w:type="dxa" w:w="8352"/>
            <w:vAlign w:val="top"/>
          </w:tcPr>
          <w:p>
            <w:r>
              <w:t>[x] nvisc_common_pkg.sv exists</w:t>
            </w:r>
          </w:p>
        </w:tc>
      </w:tr>
      <w:tr>
        <w:tc>
          <w:tcPr>
            <w:tcW w:type="dxa" w:w="1440"/>
            <w:vAlign w:val="top"/>
          </w:tcPr>
          <w:p>
            <w:r>
              <w:rPr>
                <w:b/>
              </w:rPr>
              <w:t>Complete</w:t>
            </w:r>
          </w:p>
        </w:tc>
        <w:tc>
          <w:tcPr>
            <w:tcW w:type="dxa" w:w="8352"/>
            <w:vAlign w:val="top"/>
          </w:tcPr>
          <w:p>
            <w:r>
              <w:t>[x] Canonical SoC status object defined</w:t>
            </w:r>
          </w:p>
        </w:tc>
      </w:tr>
      <w:tr>
        <w:tc>
          <w:tcPr>
            <w:tcW w:type="dxa" w:w="1440"/>
            <w:vAlign w:val="top"/>
          </w:tcPr>
          <w:p>
            <w:r>
              <w:rPr>
                <w:b/>
              </w:rPr>
              <w:t>Complete</w:t>
            </w:r>
          </w:p>
        </w:tc>
        <w:tc>
          <w:tcPr>
            <w:tcW w:type="dxa" w:w="8352"/>
            <w:vAlign w:val="top"/>
          </w:tcPr>
          <w:p>
            <w:r>
              <w:t>[x] Golden trace schema v0.1 exists</w:t>
            </w:r>
          </w:p>
        </w:tc>
      </w:tr>
      <w:tr>
        <w:tc>
          <w:tcPr>
            <w:tcW w:type="dxa" w:w="1440"/>
            <w:vAlign w:val="top"/>
          </w:tcPr>
          <w:p>
            <w:r>
              <w:rPr>
                <w:b/>
              </w:rPr>
              <w:t>Complete</w:t>
            </w:r>
          </w:p>
        </w:tc>
        <w:tc>
          <w:tcPr>
            <w:tcW w:type="dxa" w:w="8352"/>
            <w:vAlign w:val="top"/>
          </w:tcPr>
          <w:p>
            <w:r>
              <w:t>[x] SoC smoke testbench scaffold exists</w:t>
            </w:r>
          </w:p>
        </w:tc>
      </w:tr>
      <w:tr>
        <w:tc>
          <w:tcPr>
            <w:tcW w:type="dxa" w:w="1440"/>
            <w:vAlign w:val="top"/>
          </w:tcPr>
          <w:p>
            <w:r>
              <w:rPr>
                <w:b/>
              </w:rPr>
              <w:t>Complete</w:t>
            </w:r>
          </w:p>
        </w:tc>
        <w:tc>
          <w:tcPr>
            <w:tcW w:type="dxa" w:w="8352"/>
            <w:vAlign w:val="top"/>
          </w:tcPr>
          <w:p>
            <w:r>
              <w:t>[x] Lint script scaffold exists</w:t>
            </w:r>
          </w:p>
        </w:tc>
      </w:tr>
      <w:tr>
        <w:tc>
          <w:tcPr>
            <w:tcW w:type="dxa" w:w="1440"/>
            <w:vAlign w:val="top"/>
          </w:tcPr>
          <w:p>
            <w:r>
              <w:rPr>
                <w:b/>
              </w:rPr>
              <w:t>Complete</w:t>
            </w:r>
          </w:p>
        </w:tc>
        <w:tc>
          <w:tcPr>
            <w:tcW w:type="dxa" w:w="8352"/>
            <w:vAlign w:val="top"/>
          </w:tcPr>
          <w:p>
            <w:r>
              <w:t>[x] Regression script scaffold exists</w:t>
            </w:r>
          </w:p>
        </w:tc>
      </w:tr>
      <w:tr>
        <w:tc>
          <w:tcPr>
            <w:tcW w:type="dxa" w:w="1440"/>
            <w:vAlign w:val="top"/>
          </w:tcPr>
          <w:p>
            <w:r>
              <w:rPr>
                <w:b/>
              </w:rPr>
              <w:t>Complete</w:t>
            </w:r>
          </w:p>
        </w:tc>
        <w:tc>
          <w:tcPr>
            <w:tcW w:type="dxa" w:w="8352"/>
            <w:vAlign w:val="top"/>
          </w:tcPr>
          <w:p>
            <w:r>
              <w:t>[x] 06_full_system_ai_versioned_secure.nvasm included</w:t>
            </w:r>
          </w:p>
        </w:tc>
      </w:tr>
      <w:tr>
        <w:tc>
          <w:tcPr>
            <w:tcW w:type="dxa" w:w="1440"/>
            <w:vAlign w:val="top"/>
          </w:tcPr>
          <w:p>
            <w:r>
              <w:rPr>
                <w:b/>
              </w:rPr>
              <w:t>Pending</w:t>
            </w:r>
          </w:p>
        </w:tc>
        <w:tc>
          <w:tcPr>
            <w:tcW w:type="dxa" w:w="8352"/>
            <w:vAlign w:val="top"/>
          </w:tcPr>
          <w:p>
            <w:r>
              <w:t>[ ] Canonical repository merged from all phase packages</w:t>
            </w:r>
          </w:p>
        </w:tc>
      </w:tr>
      <w:tr>
        <w:tc>
          <w:tcPr>
            <w:tcW w:type="dxa" w:w="1440"/>
            <w:vAlign w:val="top"/>
          </w:tcPr>
          <w:p>
            <w:r>
              <w:rPr>
                <w:b/>
              </w:rPr>
              <w:t>Pending</w:t>
            </w:r>
          </w:p>
        </w:tc>
        <w:tc>
          <w:tcPr>
            <w:tcW w:type="dxa" w:w="8352"/>
            <w:vAlign w:val="top"/>
          </w:tcPr>
          <w:p>
            <w:r>
              <w:t>[ ] Verilator lint passes for common + SoC smoke build</w:t>
            </w:r>
          </w:p>
        </w:tc>
      </w:tr>
      <w:tr>
        <w:tc>
          <w:tcPr>
            <w:tcW w:type="dxa" w:w="1440"/>
            <w:vAlign w:val="top"/>
          </w:tcPr>
          <w:p>
            <w:r>
              <w:rPr>
                <w:b/>
              </w:rPr>
              <w:t>Pending</w:t>
            </w:r>
          </w:p>
        </w:tc>
        <w:tc>
          <w:tcPr>
            <w:tcW w:type="dxa" w:w="8352"/>
            <w:vAlign w:val="top"/>
          </w:tcPr>
          <w:p>
            <w:r>
              <w:t>[ ] NVASM compiler bridge emits vectors for all regression programs</w:t>
            </w:r>
          </w:p>
        </w:tc>
      </w:tr>
      <w:tr>
        <w:tc>
          <w:tcPr>
            <w:tcW w:type="dxa" w:w="1440"/>
            <w:vAlign w:val="top"/>
          </w:tcPr>
          <w:p>
            <w:r>
              <w:rPr>
                <w:b/>
              </w:rPr>
              <w:t>Pending</w:t>
            </w:r>
          </w:p>
        </w:tc>
        <w:tc>
          <w:tcPr>
            <w:tcW w:type="dxa" w:w="8352"/>
            <w:vAlign w:val="top"/>
          </w:tcPr>
          <w:p>
            <w:r>
              <w:t>[ ] NVVM trace and RTL trace comparison passes for boot smoke</w:t>
            </w:r>
          </w:p>
        </w:tc>
      </w:tr>
      <w:tr>
        <w:tc>
          <w:tcPr>
            <w:tcW w:type="dxa" w:w="1440"/>
            <w:vAlign w:val="top"/>
          </w:tcPr>
          <w:p>
            <w:r>
              <w:rPr>
                <w:b/>
              </w:rPr>
              <w:t>Pending</w:t>
            </w:r>
          </w:p>
        </w:tc>
        <w:tc>
          <w:tcPr>
            <w:tcW w:type="dxa" w:w="8352"/>
            <w:vAlign w:val="top"/>
          </w:tcPr>
          <w:p>
            <w:r>
              <w:t>[ ] Full-system regression passes</w:t>
            </w:r>
          </w:p>
        </w:tc>
      </w:tr>
    </w:tbl>
    <w:p>
      <w:pPr>
        <w:pStyle w:val="Heading1"/>
      </w:pPr>
      <w:r>
        <w:t>11. Phase 6 Exit Criteria</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Criterion</w:t>
            </w:r>
          </w:p>
        </w:tc>
        <w:tc>
          <w:tcPr>
            <w:tcW w:type="dxa" w:w="5112"/>
            <w:shd w:fill="D9EAF7"/>
            <w:vAlign w:val="center"/>
          </w:tcPr>
          <w:p>
            <w:r>
              <w:rPr>
                <w:b/>
              </w:rPr>
              <w:t>Required result</w:t>
            </w:r>
          </w:p>
        </w:tc>
      </w:tr>
      <w:tr>
        <w:tc>
          <w:tcPr>
            <w:tcW w:type="dxa" w:w="5112"/>
            <w:vAlign w:val="top"/>
          </w:tcPr>
          <w:p>
            <w:r>
              <w:t>Interface compatibility</w:t>
            </w:r>
          </w:p>
        </w:tc>
        <w:tc>
          <w:tcPr>
            <w:tcW w:type="dxa" w:w="5112"/>
            <w:vAlign w:val="top"/>
          </w:tcPr>
          <w:p>
            <w:r>
              <w:t>All modules import nvisc_common_pkg or use adapters verified by the interface map.</w:t>
            </w:r>
          </w:p>
        </w:tc>
      </w:tr>
      <w:tr>
        <w:tc>
          <w:tcPr>
            <w:tcW w:type="dxa" w:w="5112"/>
            <w:vAlign w:val="top"/>
          </w:tcPr>
          <w:p>
            <w:r>
              <w:t>Buildability</w:t>
            </w:r>
          </w:p>
        </w:tc>
        <w:tc>
          <w:tcPr>
            <w:tcW w:type="dxa" w:w="5112"/>
            <w:vAlign w:val="top"/>
          </w:tcPr>
          <w:p>
            <w:r>
              <w:t>At least one simulator/linter can parse the SoC smoke target.</w:t>
            </w:r>
          </w:p>
        </w:tc>
      </w:tr>
      <w:tr>
        <w:tc>
          <w:tcPr>
            <w:tcW w:type="dxa" w:w="5112"/>
            <w:vAlign w:val="top"/>
          </w:tcPr>
          <w:p>
            <w:r>
              <w:t>Trace compatibility</w:t>
            </w:r>
          </w:p>
        </w:tc>
        <w:tc>
          <w:tcPr>
            <w:tcW w:type="dxa" w:w="5112"/>
            <w:vAlign w:val="top"/>
          </w:tcPr>
          <w:p>
            <w:r>
              <w:t>NVVM and RTL monitors emit the same golden-trace event schema.</w:t>
            </w:r>
          </w:p>
        </w:tc>
      </w:tr>
      <w:tr>
        <w:tc>
          <w:tcPr>
            <w:tcW w:type="dxa" w:w="5112"/>
            <w:vAlign w:val="top"/>
          </w:tcPr>
          <w:p>
            <w:r>
              <w:t>Token consistency</w:t>
            </w:r>
          </w:p>
        </w:tc>
        <w:tc>
          <w:tcPr>
            <w:tcW w:type="dxa" w:w="5112"/>
            <w:vAlign w:val="top"/>
          </w:tcPr>
          <w:p>
            <w:r>
              <w:t>State, audit, route, tensor, and quantum tokens preserve branch_id/state_id.</w:t>
            </w:r>
          </w:p>
        </w:tc>
      </w:tr>
      <w:tr>
        <w:tc>
          <w:tcPr>
            <w:tcW w:type="dxa" w:w="5112"/>
            <w:vAlign w:val="top"/>
          </w:tcPr>
          <w:p>
            <w:r>
              <w:t>Security invariants</w:t>
            </w:r>
          </w:p>
        </w:tc>
        <w:tc>
          <w:tcPr>
            <w:tcW w:type="dxa" w:w="5112"/>
            <w:vAlign w:val="top"/>
          </w:tcPr>
          <w:p>
            <w:r>
              <w:t>No unaudited commit, no sealed-state mutation, no stale token acceptance.</w:t>
            </w:r>
          </w:p>
        </w:tc>
      </w:tr>
      <w:tr>
        <w:tc>
          <w:tcPr>
            <w:tcW w:type="dxa" w:w="5112"/>
            <w:vAlign w:val="top"/>
          </w:tcPr>
          <w:p>
            <w:r>
              <w:t>Regression readiness</w:t>
            </w:r>
          </w:p>
        </w:tc>
        <w:tc>
          <w:tcPr>
            <w:tcW w:type="dxa" w:w="5112"/>
            <w:vAlign w:val="top"/>
          </w:tcPr>
          <w:p>
            <w:r>
              <w:t>The regression script can discover programs, expected traces, and vector files.</w:t>
            </w:r>
          </w:p>
        </w:tc>
      </w:tr>
    </w:tbl>
    <w:p>
      <w:pPr>
        <w:pStyle w:val="Heading1"/>
      </w:pPr>
      <w:r>
        <w:t>12. Included Source Package</w:t>
      </w:r>
    </w:p>
    <w:p>
      <w:r>
        <w:t>The companion source ZIP includes the following scaffold files:</w:t>
      </w:r>
    </w:p>
    <w:p>
      <w:pPr>
        <w:pStyle w:val="CodeBlock"/>
      </w:pPr>
      <w:r>
        <w:rPr>
          <w:rFonts w:ascii="Consolas" w:hAnsi="Consolas"/>
          <w:sz w:val="16"/>
        </w:rPr>
        <w:t>rtl/common/nvisc_common_pkg.sv</w:t>
        <w:br/>
        <w:t>rtl/soc/nexus_v_soc.sv</w:t>
        <w:br/>
        <w:t>tb/tb_nexus_v_soc_smoke.sv</w:t>
        <w:br/>
        <w:t>schemas/golden_trace_schema_v0_1.json</w:t>
        <w:br/>
        <w:t>scripts/run_lint.py</w:t>
        <w:br/>
        <w:t>scripts/run_regression.py</w:t>
        <w:br/>
        <w:t>programs/06_full_system_ai_versioned_secure.nvasm</w:t>
        <w:br/>
        <w:t>README.md</w:t>
      </w:r>
    </w:p>
    <w:p>
      <w:pPr>
        <w:pStyle w:val="Heading1"/>
      </w:pPr>
      <w:r>
        <w:t>13. Immediate Engineering Actions</w:t>
      </w:r>
    </w:p>
    <w:tbl>
      <w:tblPr>
        <w:tblStyle w:val="LightList-Accent1"/>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Priority</w:t>
            </w:r>
          </w:p>
        </w:tc>
        <w:tc>
          <w:tcPr>
            <w:tcW w:type="dxa" w:w="3408"/>
            <w:shd w:fill="D9EAF7"/>
            <w:vAlign w:val="center"/>
          </w:tcPr>
          <w:p>
            <w:r>
              <w:rPr>
                <w:b/>
              </w:rPr>
              <w:t>Action</w:t>
            </w:r>
          </w:p>
        </w:tc>
        <w:tc>
          <w:tcPr>
            <w:tcW w:type="dxa" w:w="3408"/>
            <w:shd w:fill="D9EAF7"/>
            <w:vAlign w:val="center"/>
          </w:tcPr>
          <w:p>
            <w:r>
              <w:rPr>
                <w:b/>
              </w:rPr>
              <w:t>Reason</w:t>
            </w:r>
          </w:p>
        </w:tc>
      </w:tr>
      <w:tr>
        <w:tc>
          <w:tcPr>
            <w:tcW w:type="dxa" w:w="3408"/>
            <w:vAlign w:val="top"/>
          </w:tcPr>
          <w:p>
            <w:r>
              <w:t>P0</w:t>
            </w:r>
          </w:p>
        </w:tc>
        <w:tc>
          <w:tcPr>
            <w:tcW w:type="dxa" w:w="3408"/>
            <w:vAlign w:val="top"/>
          </w:tcPr>
          <w:p>
            <w:r>
              <w:t>Merge all packages into rtl/common, rtl/rsm, rtl/aegis, rtl/topology, rtl/tensor, rtl/quantum, rtl/soc</w:t>
            </w:r>
          </w:p>
        </w:tc>
        <w:tc>
          <w:tcPr>
            <w:tcW w:type="dxa" w:w="3408"/>
            <w:vAlign w:val="top"/>
          </w:tcPr>
          <w:p>
            <w:r>
              <w:t>Eliminates duplicated type definitions and broken ports.</w:t>
            </w:r>
          </w:p>
        </w:tc>
      </w:tr>
      <w:tr>
        <w:tc>
          <w:tcPr>
            <w:tcW w:type="dxa" w:w="3408"/>
            <w:vAlign w:val="top"/>
          </w:tcPr>
          <w:p>
            <w:r>
              <w:t>P0</w:t>
            </w:r>
          </w:p>
        </w:tc>
        <w:tc>
          <w:tcPr>
            <w:tcW w:type="dxa" w:w="3408"/>
            <w:vAlign w:val="top"/>
          </w:tcPr>
          <w:p>
            <w:r>
              <w:t>Replace local enums with nvisc_common_pkg mappings</w:t>
            </w:r>
          </w:p>
        </w:tc>
        <w:tc>
          <w:tcPr>
            <w:tcW w:type="dxa" w:w="3408"/>
            <w:vAlign w:val="top"/>
          </w:tcPr>
          <w:p>
            <w:r>
              <w:t>Prevents silent width/value mismatches.</w:t>
            </w:r>
          </w:p>
        </w:tc>
      </w:tr>
      <w:tr>
        <w:tc>
          <w:tcPr>
            <w:tcW w:type="dxa" w:w="3408"/>
            <w:vAlign w:val="top"/>
          </w:tcPr>
          <w:p>
            <w:r>
              <w:t>P0</w:t>
            </w:r>
          </w:p>
        </w:tc>
        <w:tc>
          <w:tcPr>
            <w:tcW w:type="dxa" w:w="3408"/>
            <w:vAlign w:val="top"/>
          </w:tcPr>
          <w:p>
            <w:r>
              <w:t>Run lint and fix one file group at a time</w:t>
            </w:r>
          </w:p>
        </w:tc>
        <w:tc>
          <w:tcPr>
            <w:tcW w:type="dxa" w:w="3408"/>
            <w:vAlign w:val="top"/>
          </w:tcPr>
          <w:p>
            <w:r>
              <w:t>Turns conceptual RTL into compileable RTL.</w:t>
            </w:r>
          </w:p>
        </w:tc>
      </w:tr>
      <w:tr>
        <w:tc>
          <w:tcPr>
            <w:tcW w:type="dxa" w:w="3408"/>
            <w:vAlign w:val="top"/>
          </w:tcPr>
          <w:p>
            <w:r>
              <w:t>P1</w:t>
            </w:r>
          </w:p>
        </w:tc>
        <w:tc>
          <w:tcPr>
            <w:tcW w:type="dxa" w:w="3408"/>
            <w:vAlign w:val="top"/>
          </w:tcPr>
          <w:p>
            <w:r>
              <w:t>Connect compiler bridge output to tb driver</w:t>
            </w:r>
          </w:p>
        </w:tc>
        <w:tc>
          <w:tcPr>
            <w:tcW w:type="dxa" w:w="3408"/>
            <w:vAlign w:val="top"/>
          </w:tcPr>
          <w:p>
            <w:r>
              <w:t>Creates executable architecture loop.</w:t>
            </w:r>
          </w:p>
        </w:tc>
      </w:tr>
      <w:tr>
        <w:tc>
          <w:tcPr>
            <w:tcW w:type="dxa" w:w="3408"/>
            <w:vAlign w:val="top"/>
          </w:tcPr>
          <w:p>
            <w:r>
              <w:t>P1</w:t>
            </w:r>
          </w:p>
        </w:tc>
        <w:tc>
          <w:tcPr>
            <w:tcW w:type="dxa" w:w="3408"/>
            <w:vAlign w:val="top"/>
          </w:tcPr>
          <w:p>
            <w:r>
              <w:t>Generate expected traces from NVVM for small tests</w:t>
            </w:r>
          </w:p>
        </w:tc>
        <w:tc>
          <w:tcPr>
            <w:tcW w:type="dxa" w:w="3408"/>
            <w:vAlign w:val="top"/>
          </w:tcPr>
          <w:p>
            <w:r>
              <w:t>Establishes trace comparison before full system.</w:t>
            </w:r>
          </w:p>
        </w:tc>
      </w:tr>
      <w:tr>
        <w:tc>
          <w:tcPr>
            <w:tcW w:type="dxa" w:w="3408"/>
            <w:vAlign w:val="top"/>
          </w:tcPr>
          <w:p>
            <w:r>
              <w:t>P2</w:t>
            </w:r>
          </w:p>
        </w:tc>
        <w:tc>
          <w:tcPr>
            <w:tcW w:type="dxa" w:w="3408"/>
            <w:vAlign w:val="top"/>
          </w:tcPr>
          <w:p>
            <w:r>
              <w:t>Run 06_full_system_ai_versioned_secure</w:t>
            </w:r>
          </w:p>
        </w:tc>
        <w:tc>
          <w:tcPr>
            <w:tcW w:type="dxa" w:w="3408"/>
            <w:vAlign w:val="top"/>
          </w:tcPr>
          <w:p>
            <w:r>
              <w:t>Final proof-of-architecture regression.</w:t>
            </w:r>
          </w:p>
        </w:tc>
      </w:tr>
    </w:tbl>
    <w:p>
      <w:pPr>
        <w:pStyle w:val="Heading1"/>
      </w:pPr>
      <w:r>
        <w:t>14. Core Rule</w:t>
      </w:r>
    </w:p>
    <w:p>
      <w:r>
        <w:t>Nexus-V is no longer complete when individual modules pass. It is complete when every subsystem agrees on the same tokens, clocks, buses, epochs, fault codes, traces, and commit rules while the full SoC is running.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Nexus-V Phase 6 Unified Interface Contract and Bring-Up Plan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