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32"/>
        </w:rPr>
        <w:t>Candidate A: Constantin — Presentation Prompt Cue Cards</w:t>
        <w:br/>
      </w:r>
      <w:r>
        <w:rPr>
          <w:rFonts w:ascii="Arial" w:hAnsi="Arial"/>
          <w:color w:val="2563EB"/>
          <w:sz w:val="22"/>
        </w:rPr>
        <w:t>Pearson Edexcel Functional Skills English Level 2 • Task 1 Exemplar</w:t>
        <w:br/>
        <w:t>Topic: Infection Prevention &amp; Control in Community Healthcare</w:t>
      </w:r>
    </w:p>
    <w:p>
      <w:r>
        <w:rPr>
          <w:rFonts w:ascii="Arial" w:hAnsi="Arial"/>
          <w:b/>
          <w:color w:val="0F172A"/>
          <w:sz w:val="22"/>
        </w:rPr>
        <w:t>■ CARD 1: INTRODUCTION &amp; PURPOSE</w:t>
        <w:br/>
      </w:r>
    </w:p>
    <w:p>
      <w:pPr>
        <w:ind w:left="360"/>
      </w:pPr>
      <w:r>
        <w:rPr>
          <w:rFonts w:ascii="Arial" w:hAnsi="Arial"/>
          <w:sz w:val="20"/>
        </w:rPr>
        <w:t>• Welcome assessor &amp; audience (Abdul, Thomas, Amara).</w:t>
      </w:r>
    </w:p>
    <w:p>
      <w:pPr>
        <w:ind w:left="360"/>
      </w:pPr>
      <w:r>
        <w:rPr>
          <w:rFonts w:ascii="Arial" w:hAnsi="Arial"/>
          <w:sz w:val="20"/>
        </w:rPr>
        <w:t>• Define SICPs: Standard Infection Control Precautions.</w:t>
      </w:r>
    </w:p>
    <w:p>
      <w:pPr>
        <w:ind w:left="360"/>
      </w:pPr>
      <w:r>
        <w:rPr>
          <w:rFonts w:ascii="Arial" w:hAnsi="Arial"/>
          <w:sz w:val="20"/>
        </w:rPr>
        <w:t>• Core purpose: Patient dignity, clinical safety, reducing HCAIs.</w:t>
      </w:r>
    </w:p>
    <w:p>
      <w:pPr>
        <w:ind w:left="360"/>
      </w:pPr>
      <w:r>
        <w:rPr>
          <w:rFonts w:ascii="Arial" w:hAnsi="Arial"/>
          <w:sz w:val="20"/>
        </w:rPr>
        <w:t>• Signpost structure: Problem -&gt; Audit Data -&gt; 2 Solutions -&gt; Measurable Impact.</w:t>
      </w:r>
    </w:p>
    <w:p>
      <w:r>
        <w:rPr>
          <w:rFonts w:ascii="Arial" w:hAnsi="Arial"/>
          <w:b/>
          <w:color w:val="0F172A"/>
          <w:sz w:val="22"/>
        </w:rPr>
        <w:t>■ CARD 2: THE PROBLEM &amp; UKHSA EVIDENCE</w:t>
        <w:br/>
      </w:r>
    </w:p>
    <w:p>
      <w:pPr>
        <w:ind w:left="360"/>
      </w:pPr>
      <w:r>
        <w:rPr>
          <w:rFonts w:ascii="Arial" w:hAnsi="Arial"/>
          <w:sz w:val="20"/>
        </w:rPr>
        <w:t>• HCAI cost to NHS: £1bn+ annually, avoidable hospital bed days.</w:t>
      </w:r>
    </w:p>
    <w:p>
      <w:pPr>
        <w:ind w:left="360"/>
      </w:pPr>
      <w:r>
        <w:rPr>
          <w:rFonts w:ascii="Arial" w:hAnsi="Arial"/>
          <w:sz w:val="20"/>
        </w:rPr>
        <w:t>• UKHSA 2024 Audit Data: 82% baseline hand hygiene adherence.</w:t>
      </w:r>
    </w:p>
    <w:p>
      <w:pPr>
        <w:ind w:left="360"/>
      </w:pPr>
      <w:r>
        <w:rPr>
          <w:rFonts w:ascii="Arial" w:hAnsi="Arial"/>
          <w:sz w:val="20"/>
        </w:rPr>
        <w:t>• Winter crisis surge: Compliance drops to 64% due to cognitive fatigue &amp; rush.</w:t>
      </w:r>
    </w:p>
    <w:p>
      <w:pPr>
        <w:ind w:left="360"/>
      </w:pPr>
      <w:r>
        <w:rPr>
          <w:rFonts w:ascii="Arial" w:hAnsi="Arial"/>
          <w:sz w:val="20"/>
        </w:rPr>
        <w:t>• Key issue: Inaccessible dispensers located down long corridors.</w:t>
      </w:r>
    </w:p>
    <w:p>
      <w:r>
        <w:rPr>
          <w:rFonts w:ascii="Arial" w:hAnsi="Arial"/>
          <w:b/>
          <w:color w:val="0F172A"/>
          <w:sz w:val="22"/>
        </w:rPr>
        <w:t>■ CARD 3: TWO-PRONGED INTERVENTION</w:t>
        <w:br/>
      </w:r>
    </w:p>
    <w:p>
      <w:pPr>
        <w:ind w:left="360"/>
      </w:pPr>
      <w:r>
        <w:rPr>
          <w:rFonts w:ascii="Arial" w:hAnsi="Arial"/>
          <w:sz w:val="20"/>
        </w:rPr>
        <w:t>• Intervention 1 (Physical): Point-of-care dispensers at bedside &amp; clip-on caddies (&lt;£10).</w:t>
      </w:r>
    </w:p>
    <w:p>
      <w:pPr>
        <w:ind w:left="360"/>
      </w:pPr>
      <w:r>
        <w:rPr>
          <w:rFonts w:ascii="Arial" w:hAnsi="Arial"/>
          <w:sz w:val="20"/>
        </w:rPr>
        <w:t>• Intervention 2 (Cultural): Monthly peer champion audits (supportive coaching, not blame).</w:t>
      </w:r>
    </w:p>
    <w:p>
      <w:pPr>
        <w:ind w:left="360"/>
      </w:pPr>
      <w:r>
        <w:rPr>
          <w:rFonts w:ascii="Arial" w:hAnsi="Arial"/>
          <w:sz w:val="20"/>
        </w:rPr>
        <w:t>• Behavioural nudge: Immediate positive visual feedback.</w:t>
      </w:r>
    </w:p>
    <w:p>
      <w:r>
        <w:rPr>
          <w:rFonts w:ascii="Arial" w:hAnsi="Arial"/>
          <w:b/>
          <w:color w:val="0F172A"/>
          <w:sz w:val="22"/>
        </w:rPr>
        <w:t>■ CARD 4: RESULTS &amp; CONCLUSION</w:t>
        <w:br/>
      </w:r>
    </w:p>
    <w:p>
      <w:pPr>
        <w:ind w:left="360"/>
      </w:pPr>
      <w:r>
        <w:rPr>
          <w:rFonts w:ascii="Arial" w:hAnsi="Arial"/>
          <w:sz w:val="20"/>
        </w:rPr>
        <w:t>• Measurable Outcomes: 14% compliance surge (up to 96%).</w:t>
      </w:r>
    </w:p>
    <w:p>
      <w:pPr>
        <w:ind w:left="360"/>
      </w:pPr>
      <w:r>
        <w:rPr>
          <w:rFonts w:ascii="Arial" w:hAnsi="Arial"/>
          <w:sz w:val="20"/>
        </w:rPr>
        <w:t>• Incident drop: 33% reduction in clinical contamination incidents over 6 months.</w:t>
      </w:r>
    </w:p>
    <w:p>
      <w:pPr>
        <w:ind w:left="360"/>
      </w:pPr>
      <w:r>
        <w:rPr>
          <w:rFonts w:ascii="Arial" w:hAnsi="Arial"/>
          <w:sz w:val="20"/>
        </w:rPr>
        <w:t>• Conclusion: Compliance is structural + cultural, not just policy writing.</w:t>
      </w:r>
    </w:p>
    <w:p>
      <w:pPr>
        <w:ind w:left="360"/>
      </w:pPr>
      <w:r>
        <w:rPr>
          <w:rFonts w:ascii="Arial" w:hAnsi="Arial"/>
          <w:sz w:val="20"/>
        </w:rPr>
        <w:t>• Open floor: Invite questions from Thomas, Amara, Abdul.</w:t>
      </w:r>
    </w:p>
    <w:p>
      <w:r>
        <w:rPr>
          <w:rFonts w:ascii="Arial" w:hAnsi="Arial"/>
          <w:b/>
          <w:color w:val="0F172A"/>
          <w:sz w:val="22"/>
        </w:rPr>
        <w:t>■ CARD 5: ANTICIPATED Q&amp;A DEFENCE</w:t>
        <w:br/>
      </w:r>
    </w:p>
    <w:p>
      <w:pPr>
        <w:ind w:left="360"/>
      </w:pPr>
      <w:r>
        <w:rPr>
          <w:rFonts w:ascii="Arial" w:hAnsi="Arial"/>
          <w:sz w:val="20"/>
        </w:rPr>
        <w:t>• If asked on cost/space (Thomas): Point-of-care caddies cheaper than 1 HCAI treatment.</w:t>
      </w:r>
    </w:p>
    <w:p>
      <w:pPr>
        <w:ind w:left="360"/>
      </w:pPr>
      <w:r>
        <w:rPr>
          <w:rFonts w:ascii="Arial" w:hAnsi="Arial"/>
          <w:sz w:val="20"/>
        </w:rPr>
        <w:t>• If asked on domestic home visits (Amara): Disposable paper field trays &amp; antimicrobial rubs.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