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Pre-Discussion Research Submission Sheets (Task 2)</w:t>
        <w:br/>
      </w:r>
      <w:r>
        <w:rPr>
          <w:rFonts w:ascii="Arial" w:hAnsi="Arial"/>
          <w:color w:val="2563EB"/>
          <w:sz w:val="22"/>
        </w:rPr>
        <w:t>Pearson Edexcel Functional Skills English Level 2 • Mandatory Advance Submission</w:t>
        <w:br/>
        <w:t>Discussion Topic: Digital Monitoring vs Face-to-Face Consultations in Healthcare</w:t>
      </w:r>
    </w:p>
    <w:p/>
    <w:p>
      <w:r>
        <w:rPr>
          <w:rFonts w:ascii="Arial" w:hAnsi="Arial"/>
          <w:b/>
          <w:color w:val="0F172A"/>
          <w:sz w:val="24"/>
        </w:rPr>
        <w:t>■ Candidate A: Constantin (Healthcare Support Worker)</w:t>
        <w:br/>
      </w:r>
      <w:r>
        <w:rPr>
          <w:rFonts w:ascii="Arial" w:hAnsi="Arial"/>
          <w:b/>
          <w:color w:val="2563EB"/>
          <w:sz w:val="20"/>
        </w:rPr>
        <w:t>Verified Source: Royal College of Nursing (RCN) &amp; Trust Operational Audit</w:t>
        <w:br/>
      </w:r>
    </w:p>
    <w:p>
      <w:pPr>
        <w:ind w:left="360"/>
      </w:pPr>
      <w:r>
        <w:rPr>
          <w:rFonts w:ascii="Arial" w:hAnsi="Arial"/>
          <w:sz w:val="20"/>
        </w:rPr>
        <w:t>• Focus: Clinical limitations of automated sensors vs physical examination.</w:t>
      </w:r>
    </w:p>
    <w:p>
      <w:pPr>
        <w:ind w:left="360"/>
      </w:pPr>
      <w:r>
        <w:rPr>
          <w:rFonts w:ascii="Arial" w:hAnsi="Arial"/>
          <w:sz w:val="20"/>
        </w:rPr>
        <w:t>• Evidence: RCN audit revealed 41% of early stage pressure ulcers missed on virtual reviews.</w:t>
      </w:r>
    </w:p>
    <w:p>
      <w:pPr>
        <w:ind w:left="360"/>
      </w:pPr>
      <w:r>
        <w:rPr>
          <w:rFonts w:ascii="Arial" w:hAnsi="Arial"/>
          <w:sz w:val="20"/>
        </w:rPr>
        <w:t>• Case Example: Patient with normal sensor readings had severe bed-bound deterioration.</w:t>
      </w:r>
    </w:p>
    <w:p>
      <w:pPr>
        <w:ind w:left="360"/>
      </w:pPr>
      <w:r>
        <w:rPr>
          <w:rFonts w:ascii="Arial" w:hAnsi="Arial"/>
          <w:sz w:val="20"/>
        </w:rPr>
        <w:t>• Conclusion: Sensors are an adjunct; face-to-face visits remain non-negotiable for frail adults.</w:t>
      </w:r>
    </w:p>
    <w:p/>
    <w:p>
      <w:r>
        <w:rPr>
          <w:rFonts w:ascii="Arial" w:hAnsi="Arial"/>
          <w:b/>
          <w:color w:val="0F172A"/>
          <w:sz w:val="24"/>
        </w:rPr>
        <w:t>■ Candidate B: Thomas (Therapy Assistant)</w:t>
        <w:br/>
      </w:r>
      <w:r>
        <w:rPr>
          <w:rFonts w:ascii="Arial" w:hAnsi="Arial"/>
          <w:b/>
          <w:color w:val="2563EB"/>
          <w:sz w:val="20"/>
        </w:rPr>
        <w:t>Verified Source: The King's Fund (2024): 'Digital Health in Practice'</w:t>
        <w:br/>
      </w:r>
    </w:p>
    <w:p>
      <w:pPr>
        <w:ind w:left="360"/>
      </w:pPr>
      <w:r>
        <w:rPr>
          <w:rFonts w:ascii="Arial" w:hAnsi="Arial"/>
          <w:sz w:val="20"/>
        </w:rPr>
        <w:t>• Focus: System efficiency, hospital avoidance &amp; chronic disease monitoring.</w:t>
      </w:r>
    </w:p>
    <w:p>
      <w:pPr>
        <w:ind w:left="360"/>
      </w:pPr>
      <w:r>
        <w:rPr>
          <w:rFonts w:ascii="Arial" w:hAnsi="Arial"/>
          <w:sz w:val="20"/>
        </w:rPr>
        <w:t>• Evidence: Telemetry reduced hospital readmissions by 22% for heart failure patients.</w:t>
      </w:r>
    </w:p>
    <w:p>
      <w:pPr>
        <w:ind w:left="360"/>
      </w:pPr>
      <w:r>
        <w:rPr>
          <w:rFonts w:ascii="Arial" w:hAnsi="Arial"/>
          <w:sz w:val="20"/>
        </w:rPr>
        <w:t>• Evidence: Clinic 'Did Not Attend' (DNA) rates plummeted from 12% to under 4%.</w:t>
      </w:r>
    </w:p>
    <w:p>
      <w:pPr>
        <w:ind w:left="360"/>
      </w:pPr>
      <w:r>
        <w:rPr>
          <w:rFonts w:ascii="Arial" w:hAnsi="Arial"/>
          <w:sz w:val="20"/>
        </w:rPr>
        <w:t>• Conclusion: Continuous daily physiological trends offer earlier warning than sporadic clinic visits.</w:t>
      </w:r>
    </w:p>
    <w:p/>
    <w:p>
      <w:r>
        <w:rPr>
          <w:rFonts w:ascii="Arial" w:hAnsi="Arial"/>
          <w:b/>
          <w:color w:val="0F172A"/>
          <w:sz w:val="24"/>
        </w:rPr>
        <w:t>■ Candidate C: Amara (Care Co-ordinator)</w:t>
        <w:br/>
      </w:r>
      <w:r>
        <w:rPr>
          <w:rFonts w:ascii="Arial" w:hAnsi="Arial"/>
          <w:b/>
          <w:color w:val="2563EB"/>
          <w:sz w:val="20"/>
        </w:rPr>
        <w:t>Verified Source: Healthwatch England &amp; Age UK Reports on Digital Exclusion</w:t>
        <w:br/>
      </w:r>
    </w:p>
    <w:p>
      <w:pPr>
        <w:ind w:left="360"/>
      </w:pPr>
      <w:r>
        <w:rPr>
          <w:rFonts w:ascii="Arial" w:hAnsi="Arial"/>
          <w:sz w:val="20"/>
        </w:rPr>
        <w:t>• Focus: The digital divide, sensory barriers &amp; non-verbal safeguarding risks.</w:t>
      </w:r>
    </w:p>
    <w:p>
      <w:pPr>
        <w:ind w:left="360"/>
      </w:pPr>
      <w:r>
        <w:rPr>
          <w:rFonts w:ascii="Arial" w:hAnsi="Arial"/>
          <w:sz w:val="20"/>
        </w:rPr>
        <w:t>• Evidence: 34% of service users aged 75+ lack digital literacy or smartphone access.</w:t>
      </w:r>
    </w:p>
    <w:p>
      <w:pPr>
        <w:ind w:left="360"/>
      </w:pPr>
      <w:r>
        <w:rPr>
          <w:rFonts w:ascii="Arial" w:hAnsi="Arial"/>
          <w:sz w:val="20"/>
        </w:rPr>
        <w:t>• Evidence: Subtle safeguarding red flags (domestic abuse, self-neglect) cannot be seen on phones.</w:t>
      </w:r>
    </w:p>
    <w:p>
      <w:pPr>
        <w:ind w:left="360"/>
      </w:pPr>
      <w:r>
        <w:rPr>
          <w:rFonts w:ascii="Arial" w:hAnsi="Arial"/>
          <w:sz w:val="20"/>
        </w:rPr>
        <w:t>• Conclusion: A blended model supported by 'Digital Health Champions' is required for health equity.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