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F172A"/>
          <w:sz w:val="32"/>
        </w:rPr>
        <w:t>Pearson Edexcel Functional Skills English Level 2</w:t>
        <w:br/>
      </w:r>
      <w:r>
        <w:rPr>
          <w:rFonts w:ascii="Arial" w:hAnsi="Arial"/>
          <w:b/>
          <w:color w:val="2563EB"/>
          <w:sz w:val="26"/>
        </w:rPr>
        <w:t>Speaking, Listening and Communicating — Assessment Record Sheet (Exemplar)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Centre Name: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Oxford Health / Master Functional Skills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Centre Number: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12345</w:t>
            </w:r>
          </w:p>
        </w:tc>
      </w:tr>
      <w:tr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Lead Assessor: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Abdul (FS English Lead)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Assessment Date: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17/10/2026</w:t>
            </w:r>
          </w:p>
        </w:tc>
      </w:tr>
      <w:tr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Candidate A: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Constantin (Healthcare Support)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Candidate A Ref: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CAND-L2-001</w:t>
            </w:r>
          </w:p>
        </w:tc>
      </w:tr>
      <w:tr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Candidate B / C: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Thomas (Therapy) / Amara (Care Coord)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Group Size: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3 Candidates (Cohort)</w:t>
            </w:r>
          </w:p>
        </w:tc>
      </w:tr>
    </w:tbl>
    <w:p/>
    <w:p>
      <w:r>
        <w:rPr>
          <w:rFonts w:ascii="Arial" w:hAnsi="Arial"/>
          <w:b/>
          <w:color w:val="0F172A"/>
          <w:sz w:val="24"/>
        </w:rPr>
        <w:t>TASK 1: FORMAL PRESENTATION &amp; AUDIENCE Q&amp;A</w:t>
        <w:br/>
      </w:r>
      <w:r>
        <w:rPr>
          <w:rFonts w:ascii="Arial" w:hAnsi="Arial"/>
          <w:i/>
          <w:sz w:val="20"/>
        </w:rPr>
        <w:t>Topic: Infection Prevention and Control in Community Healthcare: Translating Guidelines into Daily Practice</w:t>
        <w:br/>
        <w:t>Duration: 5 Minutes Presentation + 4 Minutes Audience Q&amp;A (Total: ~9 Mins)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Criterion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Subject Content Statement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Result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Assessor Detailed Commentary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L2.1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Identify relevant information from extended explanations/presentations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Constantin: Identified core HCAI risks, SICPs, and policy context clearly.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L2.2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Follow narratives and lines of argument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Constantin: Maintained logical trajectory from audit data to solutions and pilot impact.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L2.3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Respond effectively to detailed or extended questions and feedback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Constantin: Defended budget and domestic asepsis with comprehensive justification.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L2.4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Make requests and ask detailed questions to obtain specific information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Thomas &amp; Amara: Asked probing, multi-part analytical questions on cost &amp; asepsis.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L2.5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Communicate information, ideas and opinions clearly and effectively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Constantin: Articulate, authoritative delivery; used visual slides and prompt cards.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L2.7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Use appropriate phrases, registers and adapt contributions to audience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Constantin: Formal clinical register maintained throughout; avoided colloquialisms.</w:t>
            </w:r>
          </w:p>
        </w:tc>
      </w:tr>
    </w:tbl>
    <w:p/>
    <w:p>
      <w:r>
        <w:rPr>
          <w:rFonts w:ascii="Arial" w:hAnsi="Arial"/>
          <w:b/>
          <w:color w:val="0F172A"/>
          <w:sz w:val="24"/>
        </w:rPr>
        <w:t>TASK 2: FORMAL GROUP DISCUSSION (15 MINUTES)</w:t>
        <w:br/>
      </w:r>
      <w:r>
        <w:rPr>
          <w:rFonts w:ascii="Arial" w:hAnsi="Arial"/>
          <w:i/>
          <w:sz w:val="20"/>
        </w:rPr>
        <w:t>Topic: Digital Monitoring vs Face-to-Face Care: Can Remote Healthcare Technologies Safely Replace Routine In-Person Care?</w:t>
        <w:br/>
        <w:t>Pre-Discussion Research Notes: Verified &amp; Submitted by all 3 candidates prior to assessment.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Criterion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Subject Content Statement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Result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Assessor Detailed Commentary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L2.5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Communicate information, ideas and opinions clearly and effectively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All 3: Maintained formal, professional register appropriate to healthcare panel.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L2.6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Express opinions and arguments supported by relevant/persuasive evidence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Thomas cited King's Fund; Amara cited Healthwatch; Constantin cited RCN audit.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L2.7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Use appropriate phrases, registers and adapt contributions to purpose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Courteous register; adapted phrasing smoothly when challenging points.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L2.8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Constructively contribute to a discussion, including moving it forward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Amara and Constantin synthesized views; group moved to a hybrid model solution.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L2.9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Make significant contributions to discussions on complex subjects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Analysed safeguarding blind spots, telemetry accuracy, and digital literacy divide.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L2.10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Interject politely and respond to interjections appropriately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Thomas interjected politely ('If I could just interject...'); Constantin responded constructively.</w:t>
            </w:r>
          </w:p>
        </w:tc>
      </w:tr>
    </w:tbl>
    <w:p/>
    <w:p>
      <w:r>
        <w:rPr>
          <w:rFonts w:ascii="Arial" w:hAnsi="Arial"/>
          <w:b/>
          <w:color w:val="10B981"/>
          <w:sz w:val="24"/>
        </w:rPr>
        <w:t>FINAL ASSESSMENT OUTCOME: PASS (100% OF STATEMENTS ACHIEVED)</w:t>
        <w:br/>
      </w:r>
      <w:r>
        <w:rPr>
          <w:rFonts w:ascii="Arial" w:hAnsi="Arial"/>
          <w:sz w:val="20"/>
        </w:rPr>
        <w:t>Lead Assessor Declaration: All three candidates (Constantin, Thomas, and Amara) have unequivocally demonstrated all subject content statements for Level 2 Speaking, Listening and Communicating across both tasks. Pre-prepared presentation notes and independent research sheets were submitted and verified prior to assessment.</w:t>
        <w:br/>
        <w:br/>
        <w:t>Lead Assessor: Abdul    Signature: Abdul [Confirmed]    Date: 17/10/2026</w:t>
        <w:br/>
        <w:t>Standards Verification: Pearson Edexcel Reformed Functional Skills English Level 2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