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Calibri" w:hAnsi="Calibri"/>
          <w:b/>
          <w:color w:val="1F4E79"/>
          <w:sz w:val="50"/>
        </w:rPr>
        <w:t>Sistema de estimación del peligro diario</w:t>
        <w:br/>
        <w:t>de ignición forestal en Galicia</w:t>
      </w:r>
    </w:p>
    <w:p>
      <w:pPr>
        <w:jc w:val="center"/>
      </w:pPr>
      <w:r>
        <w:rPr>
          <w:color w:val="595959"/>
          <w:sz w:val="28"/>
        </w:rPr>
        <w:t>Aprendizaje automático sobre un datacubo de 1 km² y resolución diaria</w:t>
      </w:r>
    </w:p>
    <w:p/>
    <w:p>
      <w:pPr>
        <w:jc w:val="center"/>
      </w:pPr>
      <w:r>
        <w:rPr>
          <w:i/>
          <w:sz w:val="24"/>
        </w:rPr>
        <w:t>Borrador de memoria · Capítulos 1 a 3.2</w:t>
      </w:r>
    </w:p>
    <w:p/>
    <w:p>
      <w:pPr>
        <w:jc w:val="center"/>
      </w:pPr>
      <w:r>
        <w:rPr>
          <w:sz w:val="22"/>
        </w:rPr>
        <w:t>Máster en Big Data, Data Science e Inteligencia Artificial</w:t>
        <w:br/>
        <w:t>Universidad Complutense de Madrid</w:t>
        <w:br/>
        <w:t>Curso 2025-2026</w:t>
      </w:r>
    </w:p>
    <w:p>
      <w:r>
        <w:br w:type="page"/>
      </w:r>
    </w:p>
    <w:p>
      <w:pPr>
        <w:pStyle w:val="Heading1"/>
      </w:pPr>
      <w:r>
        <w:t>Índice</w:t>
      </w:r>
    </w:p>
    <w:p>
      <w:pPr>
        <w:spacing w:after="80"/>
      </w:pPr>
      <w:r>
        <w:t>1. Introducción</w:t>
      </w:r>
    </w:p>
    <w:p>
      <w:pPr>
        <w:spacing w:after="80"/>
      </w:pPr>
      <w:r>
        <w:t xml:space="preserve">   1.1. Contexto y motivación</w:t>
      </w:r>
    </w:p>
    <w:p>
      <w:pPr>
        <w:spacing w:after="80"/>
      </w:pPr>
      <w:r>
        <w:t xml:space="preserve">   1.2. Objetivos del trabajo</w:t>
      </w:r>
    </w:p>
    <w:p>
      <w:pPr>
        <w:spacing w:after="80"/>
      </w:pPr>
      <w:r>
        <w:t xml:space="preserve">   1.3. Alcance y organización de la memoria</w:t>
      </w:r>
    </w:p>
    <w:p>
      <w:pPr>
        <w:spacing w:after="80"/>
      </w:pPr>
      <w:r>
        <w:t>2. Datos y construcción del datacubo</w:t>
      </w:r>
    </w:p>
    <w:p>
      <w:pPr>
        <w:spacing w:after="80"/>
      </w:pPr>
      <w:r>
        <w:t xml:space="preserve">   2.1. Área de estudio y rejilla espacial</w:t>
      </w:r>
    </w:p>
    <w:p>
      <w:pPr>
        <w:spacing w:after="80"/>
      </w:pPr>
      <w:r>
        <w:t xml:space="preserve">   2.2. Variable objetivo: igniciones forestales EGIF</w:t>
      </w:r>
    </w:p>
    <w:p>
      <w:pPr>
        <w:spacing w:after="80"/>
      </w:pPr>
      <w:r>
        <w:t xml:space="preserve">   2.3. Fuentes de las variables explicativas</w:t>
      </w:r>
    </w:p>
    <w:p>
      <w:pPr>
        <w:spacing w:after="80"/>
      </w:pPr>
      <w:r>
        <w:t xml:space="preserve">   2.4. Construcción, exportación y validación del datacubo</w:t>
      </w:r>
    </w:p>
    <w:p>
      <w:pPr>
        <w:spacing w:after="80"/>
      </w:pPr>
      <w:r>
        <w:t>3. Metodología de modelado</w:t>
      </w:r>
    </w:p>
    <w:p>
      <w:pPr>
        <w:spacing w:after="80"/>
      </w:pPr>
      <w:r>
        <w:t xml:space="preserve">   3.1. Formulación del problema</w:t>
      </w:r>
    </w:p>
    <w:p>
      <w:pPr>
        <w:spacing w:after="80"/>
      </w:pPr>
      <w:r>
        <w:t xml:space="preserve">   3.2. Preparación del dataset tabular</w:t>
      </w:r>
    </w:p>
    <w:p>
      <w:r>
        <w:br w:type="page"/>
      </w:r>
    </w:p>
    <w:p>
      <w:pPr>
        <w:pStyle w:val="Heading1"/>
      </w:pPr>
      <w:r>
        <w:t>1. Introducción</w:t>
      </w:r>
    </w:p>
    <w:p>
      <w:pPr>
        <w:pStyle w:val="Heading2"/>
      </w:pPr>
      <w:r>
        <w:t>1.1. Contexto y motivación</w:t>
      </w:r>
    </w:p>
    <w:p>
      <w:pPr/>
      <w:r>
        <w:t>Los incendios forestales son un problema recurrente en Galicia. No solo provocan pérdidas ambientales y económicas; también obligan a tomar decisiones diarias sobre vigilancia, prevención y distribución de recursos. Esas decisiones se toman en un territorio heterogéneo, donde una misma jornada puede combinar condiciones muy distintas entre una zona litoral húmeda, un valle agrícola y una ladera interior cubierta de matorral.</w:t>
      </w:r>
    </w:p>
    <w:p>
      <w:pPr/>
      <w:r>
        <w:t>La meteorología explica una parte importante del peligro: una combinación de temperatura elevada, baja humedad, viento y ausencia de lluvia favorece la disponibilidad del combustible. Sin embargo, no describe por sí sola dónde es más probable que se produzca una ignición. La configuración del relieve, el tipo de cubierta vegetal y la accesibilidad del territorio introducen diferencias locales que resultan relevantes en una comunidad con una fuerte presencia humana en el medio rural.</w:t>
      </w:r>
    </w:p>
    <w:p>
      <w:pPr/>
      <w:r>
        <w:t>Los índices meteorológicos de peligro, como el Fire Weather Index, son una referencia consolidada para resumir el estado atmosférico asociado al fuego. Su principal utilidad es ofrecer una lectura comparable de las condiciones de peligro. No obstante, para orientar recursos a una escala local conviene complementar esa información con variables espaciales que describan el territorio. Este trabajo parte de esa necesidad: construir una base de datos que integre fuentes heterogéneas y que permita estimar el peligro de ignición a una resolución útil para Galicia.</w:t>
      </w:r>
    </w:p>
    <w:p>
      <w:pPr/>
      <w:r>
        <w:t>La aportación central no es una nueva fuente aislada, sino la construcción de un producto de datos reproducible. El datacubo reúne información oficial de igniciones, reanálisis meteorológico, topografía, cobertura del suelo e indicadores de actividad humana en una misma unidad de observación: una celda de un kilómetro cuadrado en un día concreto. A partir de él se obtiene también un conjunto tabular para entrenar y evaluar modelos de aprendizaje automático.</w:t>
      </w:r>
    </w:p>
    <w:p>
      <w:pPr/>
      <w:r>
        <w:t>La propuesta guarda relación con IberFire, un datacubo de ámbito estatal diseñado para el análisis del riesgo de incendios en España. La comparación es útil porque comparte la resolución espacial y temporal de 1 km × 1 km × 1 día. El presente trabajo, sin embargo, se concentra en Galicia, utiliza el registro oficial EGIF como objetivo y reduce deliberadamente el número de variables para priorizar trazabilidad, interpretación y viabilidad de mantenimiento.</w:t>
      </w:r>
    </w:p>
    <w:p>
      <w:pPr>
        <w:pStyle w:val="Heading2"/>
      </w:pPr>
      <w:r>
        <w:t>1.2. Objetivos del trabajo</w:t>
      </w:r>
    </w:p>
    <w:p>
      <w:pPr/>
      <w:r>
        <w:t>El objetivo general es desarrollar una base reproducible para estimar el peligro diario de ignición forestal en Galicia mediante técnicas de aprendizaje automático. El propósito no es predecir la superficie final quemada ni sustituir la información operativa existente, sino identificar qué celdas presentan una mayor probabilidad relativa de registrar una ignición en una jornada determinada.</w:t>
      </w:r>
    </w:p>
    <w:p>
      <w:pPr/>
      <w:r>
        <w:t>Para alcanzar ese objetivo se plantean cuatro objetivos específicos. En primer lugar, definir una rejilla espacial regular de un kilómetro y un periodo temporal cuya cobertura esté garantizada por el histórico EGIF. En segundo lugar, integrar variables estáticas y dinámicas procedentes de fuentes públicas en un datacubo con un contrato de datos explícito. En tercer lugar, transformar ese cubo en un dataset tabular que conserve los identificadores necesarios para la trazabilidad, pero separe estrictamente las variables predictoras de los resultados. Por último, proporcionar una base que permita entrenar, comparar y evaluar modelos mediante cortes temporales realistas.</w:t>
      </w:r>
    </w:p>
    <w:p>
      <w:pPr/>
      <w:r>
        <w:t>El trabajo también persigue un objetivo metodológico: evitar que el rendimiento de un modelo se apoye en atajos difíciles de justificar. Por este motivo se excluyen como predictores las coordenadas, el identificador de celda, el calendario almacenado y cualquier variable derivada del propio resultado. El modelo debe aprender relaciones entre condiciones ambientales, territorio y actividad humana, no memorizar lugares o fechas concretas del histórico.</w:t>
      </w:r>
    </w:p>
    <w:p>
      <w:pPr>
        <w:pStyle w:val="Heading2"/>
      </w:pPr>
      <w:r>
        <w:t>1.3. Alcance y organización de la memoria</w:t>
      </w:r>
    </w:p>
    <w:p>
      <w:pPr/>
      <w:r>
        <w:t>El periodo de estudio va del 1 de enero de 2019 al 26 de noviembre de 2023, última fecha cubierta por el fichero EGIF utilizado. La resolución temporal es diaria y la resolución espacial es de un kilómetro cuadrado. El producto histórico resultante se interpreta como un análisis diario: las variables meteorológicas describen el propio día de la observación. Esta decisión debe diferenciarse de un sistema de alerta anticipada, que en producción requeriría combinar observaciones pasadas con previsiones meteorológicas disponibles antes de iniciar el día de riesgo.</w:t>
      </w:r>
    </w:p>
    <w:p>
      <w:pPr/>
      <w:r>
        <w:t>La memoria se organiza en seis capítulos. Tras esta introducción, el capítulo 2 describe las fuentes y el proceso de construcción del datacubo. El capítulo 3 formula el problema de modelado y explica cómo se prepara el dataset tabular. Los capítulos posteriores se dedicarán a la selección de variables, el entrenamiento, la evaluación temporal, la interpretación de resultados y las limitaciones de un posible despliegue operativo.</w:t>
      </w:r>
    </w:p>
    <w:p>
      <w:pPr>
        <w:pStyle w:val="Heading1"/>
      </w:pPr>
      <w:r>
        <w:t>2. Datos y construcción del datacubo</w:t>
      </w:r>
    </w:p>
    <w:p>
      <w:pPr>
        <w:pStyle w:val="Heading2"/>
      </w:pPr>
      <w:r>
        <w:t>2.1. Área de estudio y rejilla espacial</w:t>
      </w:r>
    </w:p>
    <w:p>
      <w:pPr/>
      <w:r>
        <w:t>El área de estudio es Galicia. Se eligió una rejilla regular de 1.000 × 1.000 metros para disponer de una unidad espacial suficientemente fina para distinguir patrones locales y, al mismo tiempo, mantener un tamaño de datos manejable. La rejilla se genera en el sistema de referencia ETRS89-LAEA, EPSG:3035. Al tratarse de una proyección de igual área, las celdas tienen la misma superficie y las operaciones de agregación territorial no dependen de la latitud.</w:t>
      </w:r>
    </w:p>
    <w:p>
      <w:pPr/>
      <w:r>
        <w:t>La rejilla que se almacena en el NetCDF es rectangular. Esta decisión puede parecer poco intuitiva al observar que Galicia tiene una forma irregular, pero simplifica de manera importante la integración de capas raster y permite que todas compartan las mismas coordenadas x e y. Sobre ese rectángulo se calcula la máscara `is_galicia`: una celda se considera modelable cuando su centro queda dentro del límite autonómico. El Parquet destinado a aprendizaje automático contiene únicamente esas celdas activas.</w:t>
      </w:r>
    </w:p>
    <w:p>
      <w:pPr/>
      <w:r>
        <w:t>El cubo final tiene 225 posiciones en el eje y y 203 en el eje x. De las 45.675 celdas del rectángulo, 29.601 pertenecen a Galicia según la máscara. Esta distinción permite conservar una representación continua para visualizar mapas y, a la vez, evitar que el entrenamiento incorpore mar o territorio exterior como si fueran observaciones válidas.</w:t>
      </w:r>
    </w:p>
    <w:tbl>
      <w:tblPr>
        <w:tblStyle w:val="TableGrid"/>
        <w:tblW w:type="auto" w:w="0"/>
        <w:tblLook w:firstColumn="1" w:firstRow="1" w:lastColumn="0" w:lastRow="0" w:noHBand="0" w:noVBand="1" w:val="04A0"/>
      </w:tblPr>
      <w:tblGrid>
        <w:gridCol w:w="8844"/>
      </w:tblGrid>
      <w:tr>
        <w:tc>
          <w:tcPr>
            <w:tcW w:type="dxa" w:w="8844"/>
            <w:shd w:fill="F2F5F7"/>
          </w:tcPr>
          <w:p>
            <w:pPr>
              <w:jc w:val="center"/>
            </w:pPr>
            <w:r>
              <w:rPr>
                <w:i/>
                <w:color w:val="595959"/>
              </w:rPr>
              <w:t>Insertar Figura 1. Rectángulo regular de la rejilla y máscara de Galicia.</w:t>
            </w:r>
          </w:p>
        </w:tc>
      </w:tr>
    </w:tbl>
    <w:p>
      <w:pPr>
        <w:pStyle w:val="CaptionDraft"/>
      </w:pPr>
      <w:r>
        <w:t>Figura propuesta. Generar desde notebooks/17_figuras_memoria_datacubo.ipynb.</w:t>
      </w:r>
    </w:p>
    <w:p>
      <w:pPr>
        <w:pStyle w:val="Heading2"/>
      </w:pPr>
      <w:r>
        <w:t>2.2. Variable objetivo: igniciones forestales EGIF</w:t>
      </w:r>
    </w:p>
    <w:p>
      <w:pPr/>
      <w:r>
        <w:t>La variable objetivo procede de la Estadística General de Incendios Forestales (EGIF) del Ministerio para la Transición Ecológica y el Reto Demográfico. Se utiliza este registro porque documenta incidencias declaradas por los servicios competentes y proporciona la fecha, la localización y la superficie asociada a cada evento. Frente a una detección satelital de anomalías térmicas, EGIF permite representar también conatos y fuegos de menor tamaño que pueden no ser visibles desde órbita.</w:t>
      </w:r>
    </w:p>
    <w:p>
      <w:pPr/>
      <w:r>
        <w:t>Durante el periodo 2019-2023 se registran 6.385 eventos individuales en el fichero de origen. Para construir el target no se usa el evento bruto directamente, sino su agregación por pareja de celda y día. Por ello el producto final contiene 6.189 celdas-día positivas: cuando dos o más eventos coinciden en la misma celda y fecha, la variable `target_ignicion` sigue tomando el valor uno. El cero significa ausencia de una ignición registrada para esa celda y día, no ausencia absoluta de cualquier actividad de combustión.</w:t>
      </w:r>
    </w:p>
    <w:p>
      <w:pPr/>
      <w:r>
        <w:t>Además del indicador binario, el datacubo conserva `burned_area_ha` y `large_fire_500ha` como resultados auxiliares. Estas variables son útiles para análisis posteriores sobre severidad, pero se excluyen de forma explícita de los predictores. Se conserva también una máscara denominada `is_near_ignition_25x25_10d`, inspirada en la lógica de IberFire. Marca las celdas situadas en un cuadrado de 25 × 25 celdas alrededor de una ignición durante el día del evento y los diez días previos. Su función es facilitar experimentos de muestreo de negativos; nunca debe emplearse como una entrada del modelo.</w:t>
      </w:r>
    </w:p>
    <w:p>
      <w:pPr>
        <w:pStyle w:val="Heading2"/>
      </w:pPr>
      <w:r>
        <w:t>2.3. Fuentes de las variables explicativas</w:t>
      </w:r>
    </w:p>
    <w:p>
      <w:pPr/>
      <w:r>
        <w:t>Las variables explicativas se agrupan en cuatro bloques: topografía, cobertura del suelo, actividad humana y meteorología. La separación responde tanto a su origen como a su comportamiento temporal. Los tres primeros bloques son estáticos durante el periodo de estudio; la meteorología varía cada día. Esta organización evita repetir innecesariamente capas que no cambian y facilita la revisión de cada fase del pipeline.</w:t>
      </w:r>
    </w:p>
    <w:tbl>
      <w:tblPr>
        <w:tblStyle w:val="TableGrid"/>
        <w:tblW w:type="auto" w:w="0"/>
        <w:tblLayout w:type="fixed"/>
        <w:tblLook w:firstColumn="1" w:firstRow="1" w:lastColumn="0" w:lastRow="0" w:noHBand="0" w:noVBand="1" w:val="04A0"/>
      </w:tblPr>
      <w:tblGrid>
        <w:gridCol w:w="2211"/>
        <w:gridCol w:w="2211"/>
        <w:gridCol w:w="2211"/>
        <w:gridCol w:w="2211"/>
      </w:tblGrid>
      <w:tr>
        <w:tc>
          <w:tcPr>
            <w:tcW w:type="dxa" w:w="1361"/>
            <w:shd w:fill="D9EAF7"/>
          </w:tcPr>
          <w:p>
            <w:r>
              <w:rPr>
                <w:b/>
                <w:sz w:val="18"/>
              </w:rPr>
              <w:t>Bloque</w:t>
            </w:r>
          </w:p>
        </w:tc>
        <w:tc>
          <w:tcPr>
            <w:tcW w:type="dxa" w:w="1814"/>
            <w:shd w:fill="D9EAF7"/>
          </w:tcPr>
          <w:p>
            <w:r>
              <w:rPr>
                <w:b/>
                <w:sz w:val="18"/>
              </w:rPr>
              <w:t>Fuente principal</w:t>
            </w:r>
          </w:p>
        </w:tc>
        <w:tc>
          <w:tcPr>
            <w:tcW w:type="dxa" w:w="1814"/>
            <w:shd w:fill="D9EAF7"/>
          </w:tcPr>
          <w:p>
            <w:r>
              <w:rPr>
                <w:b/>
                <w:sz w:val="18"/>
              </w:rPr>
              <w:t>Resolución o naturaleza</w:t>
            </w:r>
          </w:p>
        </w:tc>
        <w:tc>
          <w:tcPr>
            <w:tcW w:type="dxa" w:w="3061"/>
            <w:shd w:fill="D9EAF7"/>
          </w:tcPr>
          <w:p>
            <w:r>
              <w:rPr>
                <w:b/>
                <w:sz w:val="18"/>
              </w:rPr>
              <w:t>Uso en el cubo</w:t>
            </w:r>
          </w:p>
        </w:tc>
      </w:tr>
      <w:tr>
        <w:tc>
          <w:tcPr>
            <w:tcW w:type="dxa" w:w="1361"/>
          </w:tcPr>
          <w:p>
            <w:pPr>
              <w:spacing w:after="40"/>
            </w:pPr>
            <w:r>
              <w:rPr>
                <w:sz w:val="18"/>
              </w:rPr>
              <w:t>Topografía</w:t>
            </w:r>
          </w:p>
        </w:tc>
        <w:tc>
          <w:tcPr>
            <w:tcW w:type="dxa" w:w="1814"/>
          </w:tcPr>
          <w:p>
            <w:pPr>
              <w:spacing w:after="40"/>
            </w:pPr>
            <w:r>
              <w:rPr>
                <w:sz w:val="18"/>
              </w:rPr>
              <w:t>Copernicus DEM GLO-30</w:t>
            </w:r>
          </w:p>
        </w:tc>
        <w:tc>
          <w:tcPr>
            <w:tcW w:type="dxa" w:w="1814"/>
          </w:tcPr>
          <w:p>
            <w:pPr>
              <w:spacing w:after="40"/>
            </w:pPr>
            <w:r>
              <w:rPr>
                <w:sz w:val="18"/>
              </w:rPr>
              <w:t>Raster de elevación</w:t>
            </w:r>
          </w:p>
        </w:tc>
        <w:tc>
          <w:tcPr>
            <w:tcW w:type="dxa" w:w="3061"/>
          </w:tcPr>
          <w:p>
            <w:pPr>
              <w:spacing w:after="40"/>
            </w:pPr>
            <w:r>
              <w:rPr>
                <w:sz w:val="18"/>
              </w:rPr>
              <w:t>Estadísticos por celda de 1 km</w:t>
            </w:r>
          </w:p>
        </w:tc>
      </w:tr>
      <w:tr>
        <w:tc>
          <w:tcPr>
            <w:tcW w:type="dxa" w:w="1361"/>
          </w:tcPr>
          <w:p>
            <w:pPr>
              <w:spacing w:after="40"/>
            </w:pPr>
            <w:r>
              <w:rPr>
                <w:sz w:val="18"/>
              </w:rPr>
              <w:t>Cobertura del suelo</w:t>
            </w:r>
          </w:p>
        </w:tc>
        <w:tc>
          <w:tcPr>
            <w:tcW w:type="dxa" w:w="1814"/>
          </w:tcPr>
          <w:p>
            <w:pPr>
              <w:spacing w:after="40"/>
            </w:pPr>
            <w:r>
              <w:rPr>
                <w:sz w:val="18"/>
              </w:rPr>
              <w:t>CORINE Land Cover 2018</w:t>
            </w:r>
          </w:p>
        </w:tc>
        <w:tc>
          <w:tcPr>
            <w:tcW w:type="dxa" w:w="1814"/>
          </w:tcPr>
          <w:p>
            <w:pPr>
              <w:spacing w:after="40"/>
            </w:pPr>
            <w:r>
              <w:rPr>
                <w:sz w:val="18"/>
              </w:rPr>
              <w:t>Raster de 100 m</w:t>
            </w:r>
          </w:p>
        </w:tc>
        <w:tc>
          <w:tcPr>
            <w:tcW w:type="dxa" w:w="3061"/>
          </w:tcPr>
          <w:p>
            <w:pPr>
              <w:spacing w:after="40"/>
            </w:pPr>
            <w:r>
              <w:rPr>
                <w:sz w:val="18"/>
              </w:rPr>
              <w:t>Fracciones de nueve clases agregadas</w:t>
            </w:r>
          </w:p>
        </w:tc>
      </w:tr>
      <w:tr>
        <w:tc>
          <w:tcPr>
            <w:tcW w:type="dxa" w:w="1361"/>
          </w:tcPr>
          <w:p>
            <w:pPr>
              <w:spacing w:after="40"/>
            </w:pPr>
            <w:r>
              <w:rPr>
                <w:sz w:val="18"/>
              </w:rPr>
              <w:t>Actividad humana</w:t>
            </w:r>
          </w:p>
        </w:tc>
        <w:tc>
          <w:tcPr>
            <w:tcW w:type="dxa" w:w="1814"/>
          </w:tcPr>
          <w:p>
            <w:pPr>
              <w:spacing w:after="40"/>
            </w:pPr>
            <w:r>
              <w:rPr>
                <w:sz w:val="18"/>
              </w:rPr>
              <w:t>OpenStreetMap / Geofabrik</w:t>
            </w:r>
          </w:p>
        </w:tc>
        <w:tc>
          <w:tcPr>
            <w:tcW w:type="dxa" w:w="1814"/>
          </w:tcPr>
          <w:p>
            <w:pPr>
              <w:spacing w:after="40"/>
            </w:pPr>
            <w:r>
              <w:rPr>
                <w:sz w:val="18"/>
              </w:rPr>
              <w:t>Líneas y polígonos; instantánea 2022</w:t>
            </w:r>
          </w:p>
        </w:tc>
        <w:tc>
          <w:tcPr>
            <w:tcW w:type="dxa" w:w="3061"/>
          </w:tcPr>
          <w:p>
            <w:pPr>
              <w:spacing w:after="40"/>
            </w:pPr>
            <w:r>
              <w:rPr>
                <w:sz w:val="18"/>
              </w:rPr>
              <w:t>Longitudes viarias y fracciones de ocupación</w:t>
            </w:r>
          </w:p>
        </w:tc>
      </w:tr>
      <w:tr>
        <w:tc>
          <w:tcPr>
            <w:tcW w:type="dxa" w:w="1361"/>
          </w:tcPr>
          <w:p>
            <w:pPr>
              <w:spacing w:after="40"/>
            </w:pPr>
            <w:r>
              <w:rPr>
                <w:sz w:val="18"/>
              </w:rPr>
              <w:t>Meteorología</w:t>
            </w:r>
          </w:p>
        </w:tc>
        <w:tc>
          <w:tcPr>
            <w:tcW w:type="dxa" w:w="1814"/>
          </w:tcPr>
          <w:p>
            <w:pPr>
              <w:spacing w:after="40"/>
            </w:pPr>
            <w:r>
              <w:rPr>
                <w:sz w:val="18"/>
              </w:rPr>
              <w:t>ERA5-Land</w:t>
            </w:r>
          </w:p>
        </w:tc>
        <w:tc>
          <w:tcPr>
            <w:tcW w:type="dxa" w:w="1814"/>
          </w:tcPr>
          <w:p>
            <w:pPr>
              <w:spacing w:after="40"/>
            </w:pPr>
            <w:r>
              <w:rPr>
                <w:sz w:val="18"/>
              </w:rPr>
              <w:t>Reanálisis horario</w:t>
            </w:r>
          </w:p>
        </w:tc>
        <w:tc>
          <w:tcPr>
            <w:tcW w:type="dxa" w:w="3061"/>
          </w:tcPr>
          <w:p>
            <w:pPr>
              <w:spacing w:after="40"/>
            </w:pPr>
            <w:r>
              <w:rPr>
                <w:sz w:val="18"/>
              </w:rPr>
              <w:t>Métricas diarias y acumulados</w:t>
            </w:r>
          </w:p>
        </w:tc>
      </w:tr>
      <w:tr>
        <w:tc>
          <w:tcPr>
            <w:tcW w:type="dxa" w:w="1361"/>
          </w:tcPr>
          <w:p>
            <w:pPr>
              <w:spacing w:after="40"/>
            </w:pPr>
            <w:r>
              <w:rPr>
                <w:sz w:val="18"/>
              </w:rPr>
              <w:t>Objetivo</w:t>
            </w:r>
          </w:p>
        </w:tc>
        <w:tc>
          <w:tcPr>
            <w:tcW w:type="dxa" w:w="1814"/>
          </w:tcPr>
          <w:p>
            <w:pPr>
              <w:spacing w:after="40"/>
            </w:pPr>
            <w:r>
              <w:rPr>
                <w:sz w:val="18"/>
              </w:rPr>
              <w:t>EGIF-MITECO</w:t>
            </w:r>
          </w:p>
        </w:tc>
        <w:tc>
          <w:tcPr>
            <w:tcW w:type="dxa" w:w="1814"/>
          </w:tcPr>
          <w:p>
            <w:pPr>
              <w:spacing w:after="40"/>
            </w:pPr>
            <w:r>
              <w:rPr>
                <w:sz w:val="18"/>
              </w:rPr>
              <w:t>Eventos geolocalizados</w:t>
            </w:r>
          </w:p>
        </w:tc>
        <w:tc>
          <w:tcPr>
            <w:tcW w:type="dxa" w:w="3061"/>
          </w:tcPr>
          <w:p>
            <w:pPr>
              <w:spacing w:after="40"/>
            </w:pPr>
            <w:r>
              <w:rPr>
                <w:sz w:val="18"/>
              </w:rPr>
              <w:t>Ignición por celda y día</w:t>
            </w:r>
          </w:p>
        </w:tc>
      </w:tr>
    </w:tbl>
    <w:p>
      <w:pPr>
        <w:pStyle w:val="CaptionDraft"/>
      </w:pPr>
      <w:r>
        <w:t>Tabla 1. Fuentes integradas en el datacubo.</w:t>
      </w:r>
    </w:p>
    <w:p>
      <w:pPr>
        <w:pStyle w:val="Heading3"/>
      </w:pPr>
      <w:r>
        <w:t>2.3.1. Topografía</w:t>
      </w:r>
    </w:p>
    <w:p>
      <w:pPr/>
      <w:r>
        <w:t>La topografía se obtiene del modelo digital de elevaciones Copernicus DEM GLO-30. Para cada celda de la rejilla se calculan la elevación media y su desviación típica, la pendiente media y su desviación típica, y ocho fracciones de orientación. Las fracciones de orientación expresan la proporción de píxeles del terreno orientados a cada intervalo de 45 grados, desde el norte hasta completar la vuelta completa.</w:t>
      </w:r>
    </w:p>
    <w:p>
      <w:pPr/>
      <w:r>
        <w:t>Esta forma de representar la orientación evita resumir una celda heterogénea con un único ángulo medio, que puede ser difícil de interpretar. La elevación y la pendiente recogen, respectivamente, la posición altitudinal y la complejidad del relieve. La orientación aproxima diferencias en insolación, exposición al viento y secado del combustible.</w:t>
      </w:r>
    </w:p>
    <w:p>
      <w:pPr>
        <w:pStyle w:val="Heading3"/>
      </w:pPr>
      <w:r>
        <w:t>2.3.2. Cobertura del suelo y combustible</w:t>
      </w:r>
    </w:p>
    <w:p>
      <w:pPr/>
      <w:r>
        <w:t>La cobertura del suelo se toma de CORINE Land Cover 2018. La elección de esa edición, anterior al periodo de predicción, es deliberada. CORINE incluye clases asociadas a terreno quemado; emplear una edición posterior podría introducir una señal que reflejara incendios ocurridos durante el propio periodo de estudio. Usar la versión de 2018 reduce este riesgo y proporciona una fotografía coherente del territorio al inicio de la serie.</w:t>
      </w:r>
    </w:p>
    <w:p>
      <w:pPr/>
      <w:r>
        <w:t>Las clases originales se agrupan en nueve fracciones por celda: superficies artificiales, agricultura, bosque de frondosas, bosque de coníferas, bosque mixto, matorral y espacios seminaturales, espacios abiertos, humedales y agua. Trabajar con fracciones y no con una única clase dominante conserva mejor la mezcla de usos presente en una celda de un kilómetro. Las celdas costeras sin píxeles CORINE válidos se completan con el vector de la celda válida más próxima, de manera que las observaciones activas no queden incompletas.</w:t>
      </w:r>
    </w:p>
    <w:p>
      <w:pPr>
        <w:pStyle w:val="Heading3"/>
      </w:pPr>
      <w:r>
        <w:t>2.3.3. Actividad humana</w:t>
      </w:r>
    </w:p>
    <w:p>
      <w:pPr/>
      <w:r>
        <w:t>La actividad humana se aproxima mediante una instantánea de OpenStreetMap de Galicia correspondiente a 2022. Se calcula la longitud de vías dentro de cada celda y se desglosa en vías principales, locales, pistas y otras vías. También se incorporan las fracciones de área residencial y de edificios. Estas variables no pretenden medir población de forma directa; describen accesibilidad, infraestructura y ocupación del territorio, factores que pueden condicionar las oportunidades de ignición y la interfaz entre usos humanos y vegetación.</w:t>
      </w:r>
    </w:p>
    <w:p>
      <w:pPr/>
      <w:r>
        <w:t>Se excluyeron las distancias a la carretera y a la zona residencial más próxima. A la resolución de 1 km, ambas se saturaban con frecuencia en cero cuando una infraestructura intersectaba la celda. La longitud de red y las fracciones internas conservan mejor la intensidad de la presencia humana. Como limitación, la capa de 2022 se aplica a todo el periodo 2019-2023, asumiendo que los cambios de infraestructura durante esos cinco años tienen un efecto reducido frente a la escala espacial del análisis.</w:t>
      </w:r>
    </w:p>
    <w:p>
      <w:pPr>
        <w:pStyle w:val="Heading3"/>
      </w:pPr>
      <w:r>
        <w:t>2.3.4. Meteorología</w:t>
      </w:r>
    </w:p>
    <w:p>
      <w:pPr/>
      <w:r>
        <w:t>La meteorología histórica procede de ERA5-Land, un reanálisis que combina observaciones y un modelo físico para reconstruir de forma consistente el estado de la superficie terrestre. Los datos horarios se convierten a métricas diarias de temperatura, humedad relativa, velocidad del viento y precipitación. La velocidad del viento se deriva de sus componentes zonal y meridional; la humedad relativa y el déficit de presión de vapor se obtienen a partir de la temperatura y del punto de rocío.</w:t>
      </w:r>
    </w:p>
    <w:p>
      <w:pPr/>
      <w:r>
        <w:t>Además de los resúmenes diarios completos, se calcula una franja de 12:00 a 18:00 en hora local de Madrid. En esa ventana se conservan la temperatura máxima, la humedad relativa mínima, la velocidad máxima del viento y el máximo déficit de presión de vapor. Estas variables buscan no diluir las condiciones de la tarde en una media de veinticuatro horas.</w:t>
      </w:r>
    </w:p>
    <w:p>
      <w:pPr/>
      <w:r>
        <w:t>El cubo incorpora también memoria meteorológica: precipitación acumulada a 3, 7, 14 y 30 días, temperatura media a siete días, viento medio a siete días, humedad media a siete y catorce días y días secos consecutivos. Un día se considera seco cuando la precipitación diaria es inferior a un milímetro. El contador de días secos no usa una ventana fija: aumenta mientras se mantenga esa condición y se reinicia cuando se alcanza o supera el umbral.</w:t>
      </w:r>
    </w:p>
    <w:p>
      <w:pPr/>
      <w:r>
        <w:t>ERA5-Land tiene una resolución más gruesa que la rejilla final. Para trasladar las variables a las 29.601 celdas se interpola linealmente desde los puntos del reanálisis a los centroides de la rejilla. En los bordes costeros, donde la interpolación puede carecer de vecinos válidos, se utiliza el píxel terrestre ERA5-Land más cercano. Este procedimiento garantiza cobertura meteorológica completa en todas las celdas activas, pero no debe interpretarse como una corrección orográfica ni como una observación local directa.</w:t>
      </w:r>
    </w:p>
    <w:tbl>
      <w:tblPr>
        <w:tblStyle w:val="TableGrid"/>
        <w:tblW w:type="auto" w:w="0"/>
        <w:tblLook w:firstColumn="1" w:firstRow="1" w:lastColumn="0" w:lastRow="0" w:noHBand="0" w:noVBand="1" w:val="04A0"/>
      </w:tblPr>
      <w:tblGrid>
        <w:gridCol w:w="8844"/>
      </w:tblGrid>
      <w:tr>
        <w:tc>
          <w:tcPr>
            <w:tcW w:type="dxa" w:w="8844"/>
            <w:shd w:fill="F2F5F7"/>
          </w:tcPr>
          <w:p>
            <w:pPr>
              <w:jc w:val="center"/>
            </w:pPr>
            <w:r>
              <w:rPr>
                <w:i/>
                <w:color w:val="595959"/>
              </w:rPr>
              <w:t>Insertar Figura 2. Ejemplos de capas estáticas y meteorológicas del datacubo.</w:t>
            </w:r>
          </w:p>
        </w:tc>
      </w:tr>
    </w:tbl>
    <w:p>
      <w:pPr>
        <w:pStyle w:val="CaptionDraft"/>
      </w:pPr>
      <w:r>
        <w:t>Figura propuesta. Generar desde notebooks/17_figuras_memoria_datacubo.ipynb.</w:t>
      </w:r>
    </w:p>
    <w:p>
      <w:pPr>
        <w:pStyle w:val="Heading2"/>
      </w:pPr>
      <w:r>
        <w:t>2.4. Construcción, exportación y validación del datacubo</w:t>
      </w:r>
    </w:p>
    <w:p>
      <w:pPr/>
      <w:r>
        <w:t>La construcción se organiza en una única ruta reproducible. El workflow comprueba primero que existen las capas estáticas y los datos diarios de ERA5-Land ya procesados. A continuación determina la última fecha disponible de EGIF, construye la capa temporal, integra la meteorología, asigna las igniciones a la rejilla y ensambla el NetCDF final. El mismo proceso exporta después los datos a Parquet, consolidados en una partición por año.</w:t>
      </w:r>
    </w:p>
    <w:p>
      <w:pPr/>
      <w:r>
        <w:t>El NetCDF conserva la estructura espacial y temporal completa. Contiene 55 variables de datos: 50 candidatas a predictor y cinco variables de control o resultado. Las 50 candidatas se distribuyen en 12 variables topográficas, 9 de cobertura del suelo, 7 de actividad humana y 22 meteorológicas. Esta lista es el contrato canónico del producto; se excluyen las variables redundantes, técnicas o no interpretables antes de la exportación.</w:t>
      </w:r>
    </w:p>
    <w:p>
      <w:pPr/>
      <w:r>
        <w:t>El dataset tabular contiene una fila por fecha y celda activa de Galicia. Incluye `fecha`, `x`, `y`, `cell_id` y `year` para poder rastrear cada observación, representar resultados en un mapa y realizar particiones temporales. Ninguna de estas columnas se entrega como predictor. La exportación final reúne 53.015.391 filas en cinco ficheros anuales, una por cada año del periodo, y no descarta filas por valores faltantes en las variables predictoras.</w:t>
      </w:r>
    </w:p>
    <w:p>
      <w:pPr/>
      <w:r>
        <w:t>La validación comprueba el rango temporal, las dimensiones de la rejilla, el número de celdas activas, la lista exacta de variables, la ausencia de columnas prohibidas como predictores y la correspondencia entre los positivos del NetCDF y los del Parquet. Estas verificaciones no sustituyen al análisis estadístico posterior, pero evitan errores silenciosos de integración antes de iniciar el modelado.</w:t>
      </w:r>
    </w:p>
    <w:tbl>
      <w:tblPr>
        <w:tblStyle w:val="TableGrid"/>
        <w:tblW w:type="auto" w:w="0"/>
        <w:tblLayout w:type="fixed"/>
        <w:tblLook w:firstColumn="1" w:firstRow="1" w:lastColumn="0" w:lastRow="0" w:noHBand="0" w:noVBand="1" w:val="04A0"/>
      </w:tblPr>
      <w:tblGrid>
        <w:gridCol w:w="2948"/>
        <w:gridCol w:w="2948"/>
        <w:gridCol w:w="2948"/>
      </w:tblGrid>
      <w:tr>
        <w:tc>
          <w:tcPr>
            <w:tcW w:type="dxa" w:w="1814"/>
            <w:shd w:fill="D9EAF7"/>
          </w:tcPr>
          <w:p>
            <w:r>
              <w:rPr>
                <w:b/>
                <w:sz w:val="18"/>
              </w:rPr>
              <w:t>Bloque</w:t>
            </w:r>
          </w:p>
        </w:tc>
        <w:tc>
          <w:tcPr>
            <w:tcW w:type="dxa" w:w="1701"/>
            <w:shd w:fill="D9EAF7"/>
          </w:tcPr>
          <w:p>
            <w:r>
              <w:rPr>
                <w:b/>
                <w:sz w:val="18"/>
              </w:rPr>
              <w:t>Número de variables</w:t>
            </w:r>
          </w:p>
        </w:tc>
        <w:tc>
          <w:tcPr>
            <w:tcW w:type="dxa" w:w="4535"/>
            <w:shd w:fill="D9EAF7"/>
          </w:tcPr>
          <w:p>
            <w:r>
              <w:rPr>
                <w:b/>
                <w:sz w:val="18"/>
              </w:rPr>
              <w:t>Ejemplos</w:t>
            </w:r>
          </w:p>
        </w:tc>
      </w:tr>
      <w:tr>
        <w:tc>
          <w:tcPr>
            <w:tcW w:type="dxa" w:w="1814"/>
          </w:tcPr>
          <w:p>
            <w:pPr>
              <w:spacing w:after="40"/>
            </w:pPr>
            <w:r>
              <w:rPr>
                <w:sz w:val="18"/>
              </w:rPr>
              <w:t>Topografía</w:t>
            </w:r>
          </w:p>
        </w:tc>
        <w:tc>
          <w:tcPr>
            <w:tcW w:type="dxa" w:w="1701"/>
          </w:tcPr>
          <w:p>
            <w:pPr>
              <w:spacing w:after="40"/>
            </w:pPr>
            <w:r>
              <w:rPr>
                <w:sz w:val="18"/>
              </w:rPr>
              <w:t>12</w:t>
            </w:r>
          </w:p>
        </w:tc>
        <w:tc>
          <w:tcPr>
            <w:tcW w:type="dxa" w:w="4535"/>
          </w:tcPr>
          <w:p>
            <w:pPr>
              <w:spacing w:after="40"/>
            </w:pPr>
            <w:r>
              <w:rPr>
                <w:sz w:val="18"/>
              </w:rPr>
              <w:t>elevación, pendiente, orientaciones</w:t>
            </w:r>
          </w:p>
        </w:tc>
      </w:tr>
      <w:tr>
        <w:tc>
          <w:tcPr>
            <w:tcW w:type="dxa" w:w="1814"/>
          </w:tcPr>
          <w:p>
            <w:pPr>
              <w:spacing w:after="40"/>
            </w:pPr>
            <w:r>
              <w:rPr>
                <w:sz w:val="18"/>
              </w:rPr>
              <w:t>Cobertura del suelo</w:t>
            </w:r>
          </w:p>
        </w:tc>
        <w:tc>
          <w:tcPr>
            <w:tcW w:type="dxa" w:w="1701"/>
          </w:tcPr>
          <w:p>
            <w:pPr>
              <w:spacing w:after="40"/>
            </w:pPr>
            <w:r>
              <w:rPr>
                <w:sz w:val="18"/>
              </w:rPr>
              <w:t>9</w:t>
            </w:r>
          </w:p>
        </w:tc>
        <w:tc>
          <w:tcPr>
            <w:tcW w:type="dxa" w:w="4535"/>
          </w:tcPr>
          <w:p>
            <w:pPr>
              <w:spacing w:after="40"/>
            </w:pPr>
            <w:r>
              <w:rPr>
                <w:sz w:val="18"/>
              </w:rPr>
              <w:t>agricultura, bosques, matorral</w:t>
            </w:r>
          </w:p>
        </w:tc>
      </w:tr>
      <w:tr>
        <w:tc>
          <w:tcPr>
            <w:tcW w:type="dxa" w:w="1814"/>
          </w:tcPr>
          <w:p>
            <w:pPr>
              <w:spacing w:after="40"/>
            </w:pPr>
            <w:r>
              <w:rPr>
                <w:sz w:val="18"/>
              </w:rPr>
              <w:t>Actividad humana</w:t>
            </w:r>
          </w:p>
        </w:tc>
        <w:tc>
          <w:tcPr>
            <w:tcW w:type="dxa" w:w="1701"/>
          </w:tcPr>
          <w:p>
            <w:pPr>
              <w:spacing w:after="40"/>
            </w:pPr>
            <w:r>
              <w:rPr>
                <w:sz w:val="18"/>
              </w:rPr>
              <w:t>7</w:t>
            </w:r>
          </w:p>
        </w:tc>
        <w:tc>
          <w:tcPr>
            <w:tcW w:type="dxa" w:w="4535"/>
          </w:tcPr>
          <w:p>
            <w:pPr>
              <w:spacing w:after="40"/>
            </w:pPr>
            <w:r>
              <w:rPr>
                <w:sz w:val="18"/>
              </w:rPr>
              <w:t>longitud de vías, residencial, edificios</w:t>
            </w:r>
          </w:p>
        </w:tc>
      </w:tr>
      <w:tr>
        <w:tc>
          <w:tcPr>
            <w:tcW w:type="dxa" w:w="1814"/>
          </w:tcPr>
          <w:p>
            <w:pPr>
              <w:spacing w:after="40"/>
            </w:pPr>
            <w:r>
              <w:rPr>
                <w:sz w:val="18"/>
              </w:rPr>
              <w:t>Meteorología</w:t>
            </w:r>
          </w:p>
        </w:tc>
        <w:tc>
          <w:tcPr>
            <w:tcW w:type="dxa" w:w="1701"/>
          </w:tcPr>
          <w:p>
            <w:pPr>
              <w:spacing w:after="40"/>
            </w:pPr>
            <w:r>
              <w:rPr>
                <w:sz w:val="18"/>
              </w:rPr>
              <w:t>22</w:t>
            </w:r>
          </w:p>
        </w:tc>
        <w:tc>
          <w:tcPr>
            <w:tcW w:type="dxa" w:w="4535"/>
          </w:tcPr>
          <w:p>
            <w:pPr>
              <w:spacing w:after="40"/>
            </w:pPr>
            <w:r>
              <w:rPr>
                <w:sz w:val="18"/>
              </w:rPr>
              <w:t>temperatura, precipitación, VPD, acumulados</w:t>
            </w:r>
          </w:p>
        </w:tc>
      </w:tr>
      <w:tr>
        <w:tc>
          <w:tcPr>
            <w:tcW w:type="dxa" w:w="1814"/>
          </w:tcPr>
          <w:p>
            <w:pPr>
              <w:spacing w:after="40"/>
            </w:pPr>
            <w:r>
              <w:rPr>
                <w:sz w:val="18"/>
              </w:rPr>
              <w:t>Total predictor</w:t>
            </w:r>
          </w:p>
        </w:tc>
        <w:tc>
          <w:tcPr>
            <w:tcW w:type="dxa" w:w="1701"/>
          </w:tcPr>
          <w:p>
            <w:pPr>
              <w:spacing w:after="40"/>
            </w:pPr>
            <w:r>
              <w:rPr>
                <w:sz w:val="18"/>
              </w:rPr>
              <w:t>50</w:t>
            </w:r>
          </w:p>
        </w:tc>
        <w:tc>
          <w:tcPr>
            <w:tcW w:type="dxa" w:w="4535"/>
          </w:tcPr>
          <w:p>
            <w:pPr>
              <w:spacing w:after="40"/>
            </w:pPr>
            <w:r>
              <w:rPr>
                <w:sz w:val="18"/>
              </w:rPr>
              <w:t>variables candidatas al modelo</w:t>
            </w:r>
          </w:p>
        </w:tc>
      </w:tr>
    </w:tbl>
    <w:p>
      <w:pPr>
        <w:pStyle w:val="CaptionDraft"/>
      </w:pPr>
      <w:r>
        <w:t>Tabla 2. Composición del contrato de variables predictoras.</w:t>
      </w:r>
    </w:p>
    <w:tbl>
      <w:tblPr>
        <w:tblStyle w:val="TableGrid"/>
        <w:tblW w:type="auto" w:w="0"/>
        <w:tblLook w:firstColumn="1" w:firstRow="1" w:lastColumn="0" w:lastRow="0" w:noHBand="0" w:noVBand="1" w:val="04A0"/>
      </w:tblPr>
      <w:tblGrid>
        <w:gridCol w:w="8844"/>
      </w:tblGrid>
      <w:tr>
        <w:tc>
          <w:tcPr>
            <w:tcW w:type="dxa" w:w="8844"/>
            <w:shd w:fill="F2F5F7"/>
          </w:tcPr>
          <w:p>
            <w:pPr>
              <w:jc w:val="center"/>
            </w:pPr>
            <w:r>
              <w:rPr>
                <w:i/>
                <w:color w:val="595959"/>
              </w:rPr>
              <w:t>Insertar Figura 3. Arquitectura del workflow: fuentes, rejilla, NetCDF y Parquet.</w:t>
            </w:r>
          </w:p>
        </w:tc>
      </w:tr>
    </w:tbl>
    <w:p>
      <w:pPr>
        <w:pStyle w:val="CaptionDraft"/>
      </w:pPr>
      <w:r>
        <w:t>Figura propuesta. Generar desde notebooks/17_figuras_memoria_datacubo.ipynb.</w:t>
      </w:r>
    </w:p>
    <w:p>
      <w:pPr>
        <w:pStyle w:val="Heading1"/>
      </w:pPr>
      <w:r>
        <w:t>3. Metodología de modelado</w:t>
      </w:r>
    </w:p>
    <w:p>
      <w:pPr>
        <w:pStyle w:val="Heading2"/>
      </w:pPr>
      <w:r>
        <w:t>3.1. Formulación del problema</w:t>
      </w:r>
    </w:p>
    <w:p>
      <w:pPr/>
      <w:r>
        <w:t>El problema se formula como una clasificación binaria espacio-temporal. Para cada celda activa i y cada día t, el objetivo es estimar la probabilidad de que `target_ignicion(i, t)` tome el valor uno. La observación básica combina, por tanto, una localización fija con unas condiciones meteorológicas que cambian cada día. La salida del modelo no pretende afirmar que un incendio vaya a ocurrir con certeza, sino ordenar las celdas según el peligro relativo estimado para esa jornada.</w:t>
      </w:r>
    </w:p>
    <w:p>
      <w:pPr/>
      <w:r>
        <w:t>La clase positiva es extremadamente poco frecuente. Frente a 53 millones de observaciones posibles, solo 6.189 parejas celda-día contienen una ignición. La exactitud no es una métrica adecuada en este contexto: un clasificador que siempre predijera cero obtendría una proporción de aciertos muy alta y carecería de utilidad. La evaluación posterior debe centrarse en la capacidad de concentrar los positivos en una fracción limitada del territorio y en métricas que sean sensibles a clases desbalanceadas.</w:t>
      </w:r>
    </w:p>
    <w:p>
      <w:pPr/>
      <w:r>
        <w:t>El producto histórico se interpreta como un análisis de peligro diario. Las variables meteorológicas y los acumulados describen el día t e incluyen t en su cálculo. Esta convención es coherente con un análisis retrospectivo de las condiciones asociadas a las igniciones, pero no equivale todavía a una predicción realizada antes de que transcurra el día. Para un uso operativo será necesario sustituir las entradas históricas por observaciones disponibles y previsiones de MeteoGalicia, y volver a validar el modelo bajo ese contrato temporal.</w:t>
      </w:r>
    </w:p>
    <w:p>
      <w:pPr/>
      <w:r>
        <w:t>Las coordenadas x e y, el identificador de celda y la fecha se conservan para trazabilidad, no para el aprendizaje. Incluirlas sin una justificación específica puede permitir que un modelo memorice patrones espaciales o estacionales del histórico en lugar de aprender relaciones transferibles entre el territorio, la meteorología y el riesgo de ignición. Del mismo modo, los resultados auxiliares y la máscara de proximidad a incendios quedan fuera de la matriz de predictores.</w:t>
      </w:r>
    </w:p>
    <w:p>
      <w:pPr>
        <w:pStyle w:val="Heading2"/>
      </w:pPr>
      <w:r>
        <w:t>3.2. Preparación del dataset tabular</w:t>
      </w:r>
    </w:p>
    <w:p>
      <w:pPr/>
      <w:r>
        <w:t>El NetCDF es el formato adecuado para conservar la geometría del problema, visualizar mapas y trabajar con modelos espacio-temporales. Los modelos tabulares habituales, en cambio, requieren una matriz donde cada fila sea una observación independiente. La exportación transforma el cubo sin perder la relación con el origen: cada fila representa una celda activa de Galicia en una fecha concreta y mantiene `fecha`, `x`, `y`, `cell_id` y `year` como columnas de identificación.</w:t>
      </w:r>
    </w:p>
    <w:p>
      <w:pPr/>
      <w:r>
        <w:t>La exportación se realiza por bloques semanales para limitar el uso de memoria. Después, los bloques se consolidan en un único fichero Parquet por año. Esta organización permite cargar solo los años necesarios durante un experimento, simplifica los cortes temporales y evita depender de un archivo monolítico de decenas de millones de filas. El formato Parquet mantiene los tipos numéricos y comprime los datos sin necesidad de convertirlos a texto.</w:t>
      </w:r>
    </w:p>
    <w:p>
      <w:pPr/>
      <w:r>
        <w:t>Antes de publicar el dataset se verifica que cada fila tiene valores válidos en las 50 variables candidatas a predictor. Las celdas costeras, que en una primera aproximación podían quedar fuera del dominio meteorológico, se completan mediante el vecino ERA5-Land terrestre más cercano. Como resultado, la exportación final no descarta filas por falta de variables predictoras. Esta comprobación es importante: eliminar observaciones de forma desigual por ausencia de datos podría modificar la distribución espacial de las muestras sin que el análisis posterior lo advirtiera.</w:t>
      </w:r>
    </w:p>
    <w:p>
      <w:pPr/>
      <w:r>
        <w:t>La separación entre columnas predictoras e identificadores se guarda de forma explícita en `metadata.json`. La variable objetivo es `target_ignicion`; `burned_area_ha` y `large_fire_500ha` son resultados auxiliares; e `is_near_ignition_25x25_10d` es una ayuda potencial para estrategias de muestreo. Por tanto, el entrenamiento parte de una matriz de 50 variables ambientales y territoriales, mientras que las columnas de trazabilidad se reservan para dividir los datos, evaluar por fechas y representar los resultados sobre el mapa.</w:t>
      </w:r>
    </w:p>
    <w:p>
      <w:pPr/>
      <w:r>
        <w:t>La siguiente fase de la metodología debe definir cómo se utilizan estos ficheros para entrenar sin mezclar información temporalmente futura con el pasado. La partición de entrenamiento, validación y prueba, el submuestreo de negativos y la selección de variables se abordarán en los apartados posteriores de la memoria.</w:t>
      </w:r>
    </w:p>
    <w:p>
      <w:pPr>
        <w:pStyle w:val="Heading1"/>
      </w:pPr>
      <w:r>
        <w:t>Referencias citadas provisionalmente</w:t>
      </w:r>
    </w:p>
    <w:p>
      <w:pPr/>
      <w:r>
        <w:t>Copernicus Climate Change Service. ERA5-Land hourly data from 1950 to present.</w:t>
      </w:r>
    </w:p>
    <w:p>
      <w:pPr/>
      <w:r>
        <w:t>Copernicus Land Monitoring Service. CORINE Land Cover 2018.</w:t>
      </w:r>
    </w:p>
    <w:p>
      <w:pPr/>
      <w:r>
        <w:t>Erzibengoa Calvo, J., Gómez-Omella, M. y Goienetxea Urkizu, I. IberFire: a detailed creation of a spatio-temporal dataset for wildfire risk assessment in Spain, 2025.</w:t>
      </w:r>
    </w:p>
    <w:p>
      <w:pPr/>
      <w:r>
        <w:t>Ministerio para la Transición Ecológica y el Reto Demográfico. Estadística General de Incendios Forestales (EGIF).</w:t>
      </w:r>
    </w:p>
    <w:p>
      <w:pPr/>
      <w:r>
        <w:t>OpenStreetMap contributors; extracto de Galicia distribuido por Geofabrik.</w:t>
      </w:r>
    </w:p>
    <w:sectPr w:rsidR="00FC693F" w:rsidRPr="0006063C" w:rsidSect="00034616">
      <w:headerReference w:type="default" r:id="rId9"/>
      <w:footerReference w:type="default" r:id="rId10"/>
      <w:pgSz w:w="11906" w:h="16838"/>
      <w:pgMar w:top="1417" w:right="1531" w:bottom="1417" w:left="153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Trabajo Fin de Máster · Borrador de capítulos 1 a 3.2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Sistema de estimación del peligro diario de ignición forestal en Galicia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F6B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Draft">
    <w:name w:val="CaptionDraft"/>
    <w:basedOn w:val="Normal"/>
    <w:pPr>
      <w:spacing w:before="80" w:after="200"/>
      <w:jc w:val="center"/>
    </w:pPr>
    <w:rPr>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