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2E75B6"/>
          <w:sz w:val="28"/>
          <w:szCs w:val="28"/>
        </w:rPr>
        <w:t xml:space="preserve">IANorth Tecnologia</w:t>
      </w:r>
    </w:p>
    <w:p>
      <w:pPr>
        <w:spacing w:after="200" w:before="200"/>
        <w:jc w:val="center"/>
      </w:pPr>
      <w:r>
        <w:rPr>
          <w:rFonts w:ascii="Calibri" w:cs="Calibri" w:eastAsia="Calibri" w:hAnsi="Calibri"/>
          <w:b/>
          <w:bCs/>
          <w:color w:val="1F4E79"/>
          <w:sz w:val="48"/>
          <w:szCs w:val="48"/>
        </w:rPr>
        <w:t xml:space="preserve">Playbook de Onboarding de Engenharia</w:t>
      </w:r>
    </w:p>
    <w:p>
      <w:pPr>
        <w:spacing w:after="800" w:before="200"/>
        <w:jc w:val="center"/>
      </w:pPr>
      <w:r>
        <w:rPr>
          <w:rFonts w:ascii="Calibri" w:cs="Calibri" w:eastAsia="Calibri" w:hAnsi="Calibri"/>
          <w:i/>
          <w:iCs/>
          <w:color w:val="595959"/>
          <w:sz w:val="22"/>
          <w:szCs w:val="22"/>
        </w:rPr>
        <w:t xml:space="preserve">Processo formal de integração de desenvolvedores ao ambiente técnico, jurídico e cultural da empresa</w:t>
      </w:r>
    </w:p>
    <w:p>
      <w:pPr>
        <w:spacing w:after="100" w:before="200"/>
        <w:jc w:val="center"/>
      </w:pPr>
      <w:r>
        <w:rPr>
          <w:rFonts w:ascii="Calibri" w:cs="Calibri" w:eastAsia="Calibri" w:hAnsi="Calibri"/>
          <w:color w:val="595959"/>
          <w:sz w:val="20"/>
          <w:szCs w:val="20"/>
        </w:rPr>
        <w:t xml:space="preserve">Documento complementar às</w:t>
      </w:r>
    </w:p>
    <w:p>
      <w:pPr>
        <w:spacing w:after="1200" w:before="0"/>
        <w:jc w:val="center"/>
      </w:pPr>
      <w:r>
        <w:rPr>
          <w:rFonts w:ascii="Calibri" w:cs="Calibri" w:eastAsia="Calibri" w:hAnsi="Calibri"/>
          <w:b/>
          <w:bCs/>
          <w:i/>
          <w:iCs/>
          <w:color w:val="1F4E79"/>
          <w:sz w:val="22"/>
          <w:szCs w:val="22"/>
        </w:rPr>
        <w:t xml:space="preserve">Diretrizes de Engenharia e Governança Tecnológica — IANorth</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Versão</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1.0 — Versão inicial</w:t>
            </w:r>
          </w:p>
        </w:tc>
      </w:tr>
      <w:tr>
        <w:tc>
          <w:tcPr>
            <w:tcW w:type="dxa" w:w="2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Classificação</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Documento Interno — Confidencial</w:t>
            </w:r>
          </w:p>
        </w:tc>
      </w:tr>
      <w:tr>
        <w:tc>
          <w:tcPr>
            <w:tcW w:type="dxa" w:w="2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Aplicabilidade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Devs juniores e plenos contratados ou alocados em projetos da IANorth</w:t>
            </w:r>
          </w:p>
        </w:tc>
      </w:tr>
      <w:tr>
        <w:tc>
          <w:tcPr>
            <w:tcW w:type="dxa" w:w="2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Aprovação Técnica</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 — IANorth Tecnologia</w:t>
            </w:r>
          </w:p>
        </w:tc>
      </w:tr>
    </w:tbl>
    <w:p>
      <w:pPr>
        <w:pageBreakBefore/>
      </w:pPr>
    </w:p>
    <w:p>
      <w:pPr>
        <w:pStyle w:val="Heading1"/>
        <w:spacing w:after="200" w:before="360"/>
      </w:pPr>
      <w:r>
        <w:rPr>
          <w:rFonts w:ascii="Calibri" w:cs="Calibri" w:eastAsia="Calibri" w:hAnsi="Calibri"/>
          <w:b/>
          <w:bCs/>
          <w:color w:val="1F4E79"/>
          <w:sz w:val="32"/>
          <w:szCs w:val="32"/>
        </w:rPr>
        <w:t xml:space="preserve">1. Propósito do Documento</w:t>
      </w:r>
    </w:p>
    <w:p>
      <w:pPr>
        <w:spacing w:after="80" w:before="80" w:line="300"/>
        <w:jc w:val="both"/>
      </w:pPr>
      <w:r>
        <w:rPr>
          <w:rFonts w:ascii="Calibri" w:cs="Calibri" w:eastAsia="Calibri" w:hAnsi="Calibri"/>
          <w:b w:val="false"/>
          <w:bCs w:val="false"/>
          <w:i w:val="false"/>
          <w:iCs w:val="false"/>
          <w:color w:val="1F2937"/>
          <w:sz w:val="22"/>
          <w:szCs w:val="22"/>
        </w:rPr>
        <w:t xml:space="preserve">Este Playbook operacionaliza a Política de Expansão de Time descrita nas Diretrizes de Engenharia e Governança Tecnológica da IANorth. Seu objetivo é estabelecer um processo claro, padronizado e auditável para integração de novos desenvolvedores ao ambiente técnico da empresa, garantindo que a integridade dos sistemas, a segurança da informação e os ativos proprietários da IANorth sejam preservados durante todas as fases da contratação.</w:t>
      </w:r>
    </w:p>
    <w:p>
      <w:pPr>
        <w:spacing w:after="80" w:before="80" w:line="300"/>
        <w:jc w:val="both"/>
      </w:pPr>
      <w:r>
        <w:rPr>
          <w:rFonts w:ascii="Calibri" w:cs="Calibri" w:eastAsia="Calibri" w:hAnsi="Calibri"/>
          <w:b w:val="false"/>
          <w:bCs w:val="false"/>
          <w:i w:val="false"/>
          <w:iCs w:val="false"/>
          <w:color w:val="1F2937"/>
          <w:sz w:val="22"/>
          <w:szCs w:val="22"/>
        </w:rPr>
        <w:t xml:space="preserve">O processo aqui descrito não é meramente burocrático: cada etapa existe para mitigar um risco específico — vazamento de propriedade intelectual, exposição indevida de credenciais, contaminação de ambientes produtivos, perda de rastreabilidade de decisões técnicas — e para acelerar a curva de produtividade do novo membro através de acessos faseados, mentoria estruturada e feedback contínuo.</w:t>
      </w:r>
    </w:p>
    <w:p>
      <w:pPr>
        <w:spacing w:after="80" w:before="80" w:line="300"/>
        <w:jc w:val="both"/>
      </w:pPr>
      <w:r>
        <w:rPr>
          <w:rFonts w:ascii="Calibri" w:cs="Calibri" w:eastAsia="Calibri" w:hAnsi="Calibri"/>
          <w:b/>
          <w:bCs/>
          <w:i w:val="false"/>
          <w:iCs w:val="false"/>
          <w:color w:val="1F2937"/>
          <w:sz w:val="22"/>
          <w:szCs w:val="22"/>
        </w:rPr>
        <w:t xml:space="preserve">A aplicação rigorosa deste Playbook é responsabilidade da Direção Técnica e condição mandatória para qualquer ingresso de profissional de desenvolvimento na IANorth.</w:t>
      </w:r>
    </w:p>
    <w:p>
      <w:pPr>
        <w:pStyle w:val="Heading1"/>
        <w:spacing w:after="200" w:before="360"/>
      </w:pPr>
      <w:r>
        <w:rPr>
          <w:rFonts w:ascii="Calibri" w:cs="Calibri" w:eastAsia="Calibri" w:hAnsi="Calibri"/>
          <w:b/>
          <w:bCs/>
          <w:color w:val="1F4E79"/>
          <w:sz w:val="32"/>
          <w:szCs w:val="32"/>
        </w:rPr>
        <w:t xml:space="preserve">2. Princípios que Orientam o Processo</w:t>
      </w:r>
    </w:p>
    <w:p>
      <w:pPr>
        <w:spacing w:after="80" w:before="80" w:line="300"/>
        <w:jc w:val="both"/>
      </w:pPr>
      <w:r>
        <w:rPr>
          <w:rFonts w:ascii="Calibri" w:cs="Calibri" w:eastAsia="Calibri" w:hAnsi="Calibri"/>
          <w:b w:val="false"/>
          <w:bCs w:val="false"/>
          <w:i w:val="false"/>
          <w:iCs w:val="false"/>
          <w:color w:val="1F2937"/>
          <w:sz w:val="22"/>
          <w:szCs w:val="22"/>
        </w:rPr>
        <w:t xml:space="preserve">Quatro princípios não-negociáveis sustentam todas as decisões deste documento:</w:t>
      </w:r>
    </w:p>
    <w:p>
      <w:pPr>
        <w:spacing w:after="60" w:before="60"/>
      </w:pPr>
      <w:r>
        <w:t xml:space="preserve"/>
      </w:r>
    </w:p>
    <w:p>
      <w:pPr>
        <w:spacing w:after="80" w:before="80" w:line="300"/>
        <w:jc w:val="both"/>
      </w:pPr>
      <w:r>
        <w:rPr>
          <w:rFonts w:ascii="Calibri" w:cs="Calibri" w:eastAsia="Calibri" w:hAnsi="Calibri"/>
          <w:b/>
          <w:bCs/>
          <w:i w:val="false"/>
          <w:iCs w:val="false"/>
          <w:color w:val="1F4E79"/>
          <w:sz w:val="22"/>
          <w:szCs w:val="22"/>
        </w:rPr>
        <w:t xml:space="preserve">Princípio do Menor Privilégio. </w:t>
      </w:r>
      <w:r>
        <w:rPr>
          <w:rFonts w:ascii="Calibri" w:cs="Calibri" w:eastAsia="Calibri" w:hAnsi="Calibri"/>
          <w:b w:val="false"/>
          <w:bCs w:val="false"/>
          <w:i w:val="false"/>
          <w:iCs w:val="false"/>
          <w:color w:val="1F2937"/>
          <w:sz w:val="22"/>
          <w:szCs w:val="22"/>
        </w:rPr>
        <w:t xml:space="preserve">Nenhum colaborador recebe acesso a sistemas, credenciais ou ambientes além do estritamente necessário para a atividade do momento. Acessos são concedidos em fases progressivas, não em bloco.</w:t>
      </w:r>
    </w:p>
    <w:p>
      <w:pPr>
        <w:spacing w:after="80" w:before="80" w:line="300"/>
        <w:jc w:val="both"/>
      </w:pPr>
      <w:r>
        <w:rPr>
          <w:rFonts w:ascii="Calibri" w:cs="Calibri" w:eastAsia="Calibri" w:hAnsi="Calibri"/>
          <w:b/>
          <w:bCs/>
          <w:i w:val="false"/>
          <w:iCs w:val="false"/>
          <w:color w:val="1F4E79"/>
          <w:sz w:val="22"/>
          <w:szCs w:val="22"/>
        </w:rPr>
        <w:t xml:space="preserve">Aceite Formal Antecede o Acesso. </w:t>
      </w:r>
      <w:r>
        <w:rPr>
          <w:rFonts w:ascii="Calibri" w:cs="Calibri" w:eastAsia="Calibri" w:hAnsi="Calibri"/>
          <w:b w:val="false"/>
          <w:bCs w:val="false"/>
          <w:i w:val="false"/>
          <w:iCs w:val="false"/>
          <w:color w:val="1F2937"/>
          <w:sz w:val="22"/>
          <w:szCs w:val="22"/>
        </w:rPr>
        <w:t xml:space="preserve">Nenhum acesso técnico é concedido antes da assinatura digital dos instrumentos jurídicos de proteção (NDA, Política de Propriedade Intelectual e Código de Conduta). Sem aceite registrado, não há onboarding.</w:t>
      </w:r>
    </w:p>
    <w:p>
      <w:pPr>
        <w:spacing w:after="80" w:before="80" w:line="300"/>
        <w:jc w:val="both"/>
      </w:pPr>
      <w:r>
        <w:rPr>
          <w:rFonts w:ascii="Calibri" w:cs="Calibri" w:eastAsia="Calibri" w:hAnsi="Calibri"/>
          <w:b/>
          <w:bCs/>
          <w:i w:val="false"/>
          <w:iCs w:val="false"/>
          <w:color w:val="1F4E79"/>
          <w:sz w:val="22"/>
          <w:szCs w:val="22"/>
        </w:rPr>
        <w:t xml:space="preserve">Rastreabilidade Total. </w:t>
      </w:r>
      <w:r>
        <w:rPr>
          <w:rFonts w:ascii="Calibri" w:cs="Calibri" w:eastAsia="Calibri" w:hAnsi="Calibri"/>
          <w:b w:val="false"/>
          <w:bCs w:val="false"/>
          <w:i w:val="false"/>
          <w:iCs w:val="false"/>
          <w:color w:val="1F2937"/>
          <w:sz w:val="22"/>
          <w:szCs w:val="22"/>
        </w:rPr>
        <w:t xml:space="preserve">Toda concessão de acesso, alteração de permissão e ação relevante é registrada em log auditável no Microsoft Entra ID, no GitHub e no SharePoint. Decisões técnicas relevantes são documentadas em ADRs (Architecture Decision Records).</w:t>
      </w:r>
    </w:p>
    <w:p>
      <w:pPr>
        <w:spacing w:after="80" w:before="80" w:line="300"/>
        <w:jc w:val="both"/>
      </w:pPr>
      <w:r>
        <w:rPr>
          <w:rFonts w:ascii="Calibri" w:cs="Calibri" w:eastAsia="Calibri" w:hAnsi="Calibri"/>
          <w:b/>
          <w:bCs/>
          <w:i w:val="false"/>
          <w:iCs w:val="false"/>
          <w:color w:val="1F4E79"/>
          <w:sz w:val="22"/>
          <w:szCs w:val="22"/>
        </w:rPr>
        <w:t xml:space="preserve">Reversibilidade. </w:t>
      </w:r>
      <w:r>
        <w:rPr>
          <w:rFonts w:ascii="Calibri" w:cs="Calibri" w:eastAsia="Calibri" w:hAnsi="Calibri"/>
          <w:b w:val="false"/>
          <w:bCs w:val="false"/>
          <w:i w:val="false"/>
          <w:iCs w:val="false"/>
          <w:color w:val="1F2937"/>
          <w:sz w:val="22"/>
          <w:szCs w:val="22"/>
        </w:rPr>
        <w:t xml:space="preserve">Todo acesso concedido pode ser revogado em até quinze minutos. O processo de offboarding é tão estruturado quanto o de onboarding.</w:t>
      </w:r>
    </w:p>
    <w:p>
      <w:pPr>
        <w:pStyle w:val="Heading1"/>
        <w:spacing w:after="200" w:before="360"/>
      </w:pPr>
      <w:r>
        <w:rPr>
          <w:rFonts w:ascii="Calibri" w:cs="Calibri" w:eastAsia="Calibri" w:hAnsi="Calibri"/>
          <w:b/>
          <w:bCs/>
          <w:color w:val="1F4E79"/>
          <w:sz w:val="32"/>
          <w:szCs w:val="32"/>
        </w:rPr>
        <w:t xml:space="preserve">3. Stack Oficial de Colaboração</w:t>
      </w:r>
    </w:p>
    <w:p>
      <w:pPr>
        <w:spacing w:after="80" w:before="80" w:line="300"/>
        <w:jc w:val="both"/>
      </w:pPr>
      <w:r>
        <w:rPr>
          <w:rFonts w:ascii="Calibri" w:cs="Calibri" w:eastAsia="Calibri" w:hAnsi="Calibri"/>
          <w:b w:val="false"/>
          <w:bCs w:val="false"/>
          <w:i w:val="false"/>
          <w:iCs w:val="false"/>
          <w:color w:val="1F2937"/>
          <w:sz w:val="22"/>
          <w:szCs w:val="22"/>
        </w:rPr>
        <w:t xml:space="preserve">A IANorth adota o ecossistema Microsoft 365 como base oficial de colaboração técnica e operacional, complementado por GitHub para versionamento e por integrações nativas entre as duas plataformas. A escolha desta stack é justificada pela integração nativa entre componentes, pelo modelo de licenciamento já contratado pela empresa, pela aderência aos requisitos de governança das Diretrizes Institucionais e pela maturidade do ecossistema para times em fase de profissionalização.</w:t>
      </w:r>
    </w:p>
    <w:p>
      <w:pPr>
        <w:pStyle w:val="Heading3"/>
        <w:spacing w:after="100" w:before="200"/>
      </w:pPr>
      <w:r>
        <w:rPr>
          <w:rFonts w:ascii="Calibri" w:cs="Calibri" w:eastAsia="Calibri" w:hAnsi="Calibri"/>
          <w:b/>
          <w:bCs/>
          <w:color w:val="1F2937"/>
          <w:sz w:val="23"/>
          <w:szCs w:val="23"/>
        </w:rPr>
        <w:t xml:space="preserve">Composição da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Camada</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Ferramenta</w:t>
            </w:r>
          </w:p>
        </w:tc>
        <w:tc>
          <w:tcPr>
            <w:tcW w:type="dxa" w:w="342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Função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Comunicação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Microsoft Teams</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Canais por projeto, reuniões, registro de decisões técnicas</w:t>
            </w:r>
          </w:p>
        </w:tc>
      </w:tr>
      <w:tr>
        <w:tc>
          <w:tcPr>
            <w:tcW w:type="dxa" w:w="24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Identidade e Acesso</w:t>
            </w:r>
          </w:p>
        </w:tc>
        <w:tc>
          <w:tcPr>
            <w:tcW w:type="dxa" w:w="3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Microsoft Entra ID</w:t>
            </w:r>
          </w:p>
        </w:tc>
        <w:tc>
          <w:tcPr>
            <w:tcW w:type="dxa" w:w="34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SSO, grupos de segurança e gestão faseada de permissões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Versionamento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GitHub (org IANorth-Tecnologia)</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Repositórios, Pull Requests, Code Review e CI/CD</w:t>
            </w:r>
          </w:p>
        </w:tc>
      </w:tr>
      <w:tr>
        <w:tc>
          <w:tcPr>
            <w:tcW w:type="dxa" w:w="24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Integração</w:t>
            </w:r>
          </w:p>
        </w:tc>
        <w:tc>
          <w:tcPr>
            <w:tcW w:type="dxa" w:w="3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GitHub for Teams (app oficial)</w:t>
            </w:r>
          </w:p>
        </w:tc>
        <w:tc>
          <w:tcPr>
            <w:tcW w:type="dxa" w:w="34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Notificações de commits, PRs, builds e deploys nos canais Teams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Documentação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SharePoint + GitHub Wiki</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Manuais, runbooks, ADRs e documentação técnica versionada</w:t>
            </w:r>
          </w:p>
        </w:tc>
      </w:tr>
      <w:tr>
        <w:tc>
          <w:tcPr>
            <w:tcW w:type="dxa" w:w="24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Gestão de Tarefas</w:t>
            </w:r>
          </w:p>
        </w:tc>
        <w:tc>
          <w:tcPr>
            <w:tcW w:type="dxa" w:w="3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Microsoft Planner / Azure DevOps Boards</w:t>
            </w:r>
          </w:p>
        </w:tc>
        <w:tc>
          <w:tcPr>
            <w:tcW w:type="dxa" w:w="34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Backlog, sprint, atribuição e acompanhamento de tarefas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Aceite Jurídico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Microsoft Forms + Power Automate</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Coleta, registro e arquivamento de NDAs e termos com timestamp</w:t>
            </w:r>
          </w:p>
        </w:tc>
      </w:tr>
      <w:tr>
        <w:tc>
          <w:tcPr>
            <w:tcW w:type="dxa" w:w="24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Containers</w:t>
            </w:r>
          </w:p>
        </w:tc>
        <w:tc>
          <w:tcPr>
            <w:tcW w:type="dxa" w:w="3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Docker</w:t>
            </w:r>
          </w:p>
        </w:tc>
        <w:tc>
          <w:tcPr>
            <w:tcW w:type="dxa" w:w="34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Padronização de ambientes de dev, staging e produção</w:t>
            </w:r>
          </w:p>
        </w:tc>
      </w:tr>
    </w:tbl>
    <w:p>
      <w:pPr>
        <w:spacing w:after="60" w:before="60"/>
      </w:pPr>
      <w:r>
        <w:t xml:space="preserve"/>
      </w:r>
    </w:p>
    <w:p>
      <w:pPr>
        <w:spacing w:after="80" w:before="80" w:line="300"/>
        <w:jc w:val="both"/>
      </w:pPr>
      <w:r>
        <w:rPr>
          <w:rFonts w:ascii="Calibri" w:cs="Calibri" w:eastAsia="Calibri" w:hAnsi="Calibri"/>
          <w:b/>
          <w:bCs/>
          <w:i w:val="false"/>
          <w:iCs w:val="false"/>
          <w:color w:val="2E75B6"/>
          <w:sz w:val="22"/>
          <w:szCs w:val="22"/>
        </w:rPr>
        <w:t xml:space="preserve">Nota sobre o Discord. </w:t>
      </w:r>
      <w:r>
        <w:rPr>
          <w:rFonts w:ascii="Calibri" w:cs="Calibri" w:eastAsia="Calibri" w:hAnsi="Calibri"/>
          <w:b w:val="false"/>
          <w:bCs w:val="false"/>
          <w:i w:val="false"/>
          <w:iCs w:val="false"/>
          <w:color w:val="1F2937"/>
          <w:sz w:val="22"/>
          <w:szCs w:val="22"/>
        </w:rPr>
        <w:t xml:space="preserve">A versão anterior das Diretrizes mencionava o Discord como ferramenta principal de comunicação. Esta diretriz foi atualizada: o Microsoft Teams é a ferramenta oficial. O Discord pode permanecer como canal secundário opcional, exclusivamente para sessões de pair programming síncrono em voz, sem registro de decisões, arquivos ou tarefas — tudo isso ocorre no Teams.</w:t>
      </w:r>
    </w:p>
    <w:p>
      <w:pPr>
        <w:pageBreakBefore/>
      </w:pPr>
    </w:p>
    <w:p>
      <w:pPr>
        <w:pStyle w:val="Heading1"/>
        <w:spacing w:after="200" w:before="360"/>
      </w:pPr>
      <w:r>
        <w:rPr>
          <w:rFonts w:ascii="Calibri" w:cs="Calibri" w:eastAsia="Calibri" w:hAnsi="Calibri"/>
          <w:b/>
          <w:bCs/>
          <w:color w:val="1F4E79"/>
          <w:sz w:val="32"/>
          <w:szCs w:val="32"/>
        </w:rPr>
        <w:t xml:space="preserve">4. Instrumentos Jurídicos de Aceite Prévio</w:t>
      </w:r>
    </w:p>
    <w:p>
      <w:pPr>
        <w:spacing w:after="80" w:before="80" w:line="300"/>
        <w:jc w:val="both"/>
      </w:pPr>
      <w:r>
        <w:rPr>
          <w:rFonts w:ascii="Calibri" w:cs="Calibri" w:eastAsia="Calibri" w:hAnsi="Calibri"/>
          <w:b w:val="false"/>
          <w:bCs w:val="false"/>
          <w:i w:val="false"/>
          <w:iCs w:val="false"/>
          <w:color w:val="1F2937"/>
          <w:sz w:val="22"/>
          <w:szCs w:val="22"/>
        </w:rPr>
        <w:t xml:space="preserve">Antes de qualquer acesso técnico ser concedido, o candidato deve assinar digitalmente os quatro instrumentos abaixo. A coleta é centralizada via Microsoft Forms com fluxo Power Automate, gerando PDF assinado, arquivado em pasta restrita no SharePoint com timestamp, IP de origem e identificação do signatário, em conformidade com a Lei nº 14.063/2020.</w:t>
      </w:r>
    </w:p>
    <w:p>
      <w:pPr>
        <w:pStyle w:val="Heading3"/>
        <w:spacing w:after="100" w:before="200"/>
      </w:pPr>
      <w:r>
        <w:rPr>
          <w:rFonts w:ascii="Calibri" w:cs="Calibri" w:eastAsia="Calibri" w:hAnsi="Calibri"/>
          <w:b/>
          <w:bCs/>
          <w:color w:val="1F2937"/>
          <w:sz w:val="23"/>
          <w:szCs w:val="23"/>
        </w:rPr>
        <w:t xml:space="preserve">4.1 Documentos Obrigatórios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Documento</w:t>
            </w:r>
          </w:p>
        </w:tc>
        <w:tc>
          <w:tcPr>
            <w:tcW w:type="dxa" w:w="622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Objetivo Específico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Acordo de Confidencialidade (NDA)</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Proteger algoritmos, dados de clientes (incluindo informações operacionais da Sinobras), arquiteturas e estratégias comerciais. Vigência durante o vínculo e por cinco anos após o término.</w:t>
            </w:r>
          </w:p>
        </w:tc>
      </w:tr>
      <w:tr>
        <w:tc>
          <w:tcPr>
            <w:tcW w:type="dxa" w:w="28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Política de Propriedade Intelectual</w:t>
            </w:r>
          </w:p>
        </w:tc>
        <w:tc>
          <w:tcPr>
            <w:tcW w:type="dxa" w:w="62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Estabelece que todo código, modelo, documentação ou ativo intelectual produzido durante o vínculo é de propriedade exclusiva da IANorth, conforme Licenciamento Proprietário das Diretrizes.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Código de Conduta de Engenharia</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Define padrões esperados de comportamento técnico e interpessoal: code review respeitoso, comunicação assíncrona, gestão de incidentes, postura em campo (cliente Sinobras), uso responsável de IA assistiva.</w:t>
            </w:r>
          </w:p>
        </w:tc>
      </w:tr>
      <w:tr>
        <w:tc>
          <w:tcPr>
            <w:tcW w:type="dxa" w:w="28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Termo de Uso Aceitável e LGPD</w:t>
            </w:r>
          </w:p>
        </w:tc>
        <w:tc>
          <w:tcPr>
            <w:tcW w:type="dxa" w:w="62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Proibições explícitas de exposição de credenciais, uso de dados de produção em ambiente de desenvolvimento, instalação de software não-autorizado, e responsabilidades quanto a dados pessoais sob a Lei 13.709/2018.</w:t>
            </w:r>
          </w:p>
        </w:tc>
      </w:tr>
    </w:tbl>
    <w:p>
      <w:pPr>
        <w:spacing w:after="60" w:before="60"/>
      </w:pPr>
      <w:r>
        <w:t xml:space="preserve"/>
      </w:r>
    </w:p>
    <w:p>
      <w:pPr>
        <w:pStyle w:val="Heading3"/>
        <w:spacing w:after="100" w:before="200"/>
      </w:pPr>
      <w:r>
        <w:rPr>
          <w:rFonts w:ascii="Calibri" w:cs="Calibri" w:eastAsia="Calibri" w:hAnsi="Calibri"/>
          <w:b/>
          <w:bCs/>
          <w:color w:val="1F2937"/>
          <w:sz w:val="23"/>
          <w:szCs w:val="23"/>
        </w:rPr>
        <w:t xml:space="preserve">4.2 Fluxo de Coleta e Arquivamento</w:t>
      </w:r>
    </w:p>
    <w:p>
      <w:pPr>
        <w:pStyle w:val="ListParagraph"/>
        <w:numPr>
          <w:ilvl w:val="0"/>
          <w:numId w:val="2"/>
        </w:numPr>
        <w:spacing w:after="40" w:before="40" w:line="280"/>
      </w:pPr>
      <w:r>
        <w:rPr>
          <w:rFonts w:ascii="Calibri" w:cs="Calibri" w:eastAsia="Calibri" w:hAnsi="Calibri"/>
          <w:color w:val="1F2937"/>
          <w:sz w:val="22"/>
          <w:szCs w:val="22"/>
        </w:rPr>
        <w:t xml:space="preserve">Direção Técnica envia ao candidato um link único e expirável do Microsoft Forms contendo o pacote completo de termos.</w:t>
      </w:r>
    </w:p>
    <w:p>
      <w:pPr>
        <w:pStyle w:val="ListParagraph"/>
        <w:numPr>
          <w:ilvl w:val="0"/>
          <w:numId w:val="2"/>
        </w:numPr>
        <w:spacing w:after="40" w:before="40" w:line="280"/>
      </w:pPr>
      <w:r>
        <w:rPr>
          <w:rFonts w:ascii="Calibri" w:cs="Calibri" w:eastAsia="Calibri" w:hAnsi="Calibri"/>
          <w:color w:val="1F2937"/>
          <w:sz w:val="22"/>
          <w:szCs w:val="22"/>
        </w:rPr>
        <w:t xml:space="preserve">Candidato preenche identificação (nome completo, CPF, RG, e-mail pessoal), lê os documentos e assina digitalmente cada um.</w:t>
      </w:r>
    </w:p>
    <w:p>
      <w:pPr>
        <w:pStyle w:val="ListParagraph"/>
        <w:numPr>
          <w:ilvl w:val="0"/>
          <w:numId w:val="2"/>
        </w:numPr>
        <w:spacing w:after="40" w:before="40" w:line="280"/>
      </w:pPr>
      <w:r>
        <w:rPr>
          <w:rFonts w:ascii="Calibri" w:cs="Calibri" w:eastAsia="Calibri" w:hAnsi="Calibri"/>
          <w:color w:val="1F2937"/>
          <w:sz w:val="22"/>
          <w:szCs w:val="22"/>
        </w:rPr>
        <w:t xml:space="preserve">Power Automate consolida as respostas em PDF unificado, nomeado conforme padrão NOME-COMPLETO_AAAA-MM-DD.pdf, e arquiva em /SharePoint/RH/Contratos/Devs/.</w:t>
      </w:r>
    </w:p>
    <w:p>
      <w:pPr>
        <w:pStyle w:val="ListParagraph"/>
        <w:numPr>
          <w:ilvl w:val="0"/>
          <w:numId w:val="2"/>
        </w:numPr>
        <w:spacing w:after="40" w:before="40" w:line="280"/>
      </w:pPr>
      <w:r>
        <w:rPr>
          <w:rFonts w:ascii="Calibri" w:cs="Calibri" w:eastAsia="Calibri" w:hAnsi="Calibri"/>
          <w:color w:val="1F2937"/>
          <w:sz w:val="22"/>
          <w:szCs w:val="22"/>
        </w:rPr>
        <w:t xml:space="preserve">Direção Técnica recebe notificação automática de conclusão e valida a integridade do registro.</w:t>
      </w:r>
    </w:p>
    <w:p>
      <w:pPr>
        <w:pStyle w:val="ListParagraph"/>
        <w:numPr>
          <w:ilvl w:val="0"/>
          <w:numId w:val="2"/>
        </w:numPr>
        <w:spacing w:after="40" w:before="40" w:line="280"/>
      </w:pPr>
      <w:r>
        <w:rPr>
          <w:rFonts w:ascii="Calibri" w:cs="Calibri" w:eastAsia="Calibri" w:hAnsi="Calibri"/>
          <w:color w:val="1F2937"/>
          <w:sz w:val="22"/>
          <w:szCs w:val="22"/>
        </w:rPr>
        <w:t xml:space="preserve">Somente após confirmação dessa validação o processo avança para a Fase 1 do onboarding técnico.</w:t>
      </w:r>
    </w:p>
    <w:p>
      <w:pPr>
        <w:spacing w:after="80" w:before="80" w:line="300"/>
        <w:jc w:val="both"/>
      </w:pPr>
      <w:r>
        <w:rPr>
          <w:rFonts w:ascii="Calibri" w:cs="Calibri" w:eastAsia="Calibri" w:hAnsi="Calibri"/>
          <w:b/>
          <w:bCs/>
          <w:i w:val="false"/>
          <w:iCs w:val="false"/>
          <w:color w:val="C00000"/>
          <w:sz w:val="22"/>
          <w:szCs w:val="22"/>
        </w:rPr>
        <w:t xml:space="preserve">Bloqueio rígido. </w:t>
      </w:r>
      <w:r>
        <w:rPr>
          <w:rFonts w:ascii="Calibri" w:cs="Calibri" w:eastAsia="Calibri" w:hAnsi="Calibri"/>
          <w:b w:val="false"/>
          <w:bCs w:val="false"/>
          <w:i w:val="false"/>
          <w:iCs w:val="false"/>
          <w:color w:val="1F2937"/>
          <w:sz w:val="22"/>
          <w:szCs w:val="22"/>
        </w:rPr>
        <w:t xml:space="preserve">Não há concessão de qualquer acesso técnico — nem mesmo de leitura — antes do arquivamento confirmado dos quatro documentos. Esta regra não admite exceções.</w:t>
      </w:r>
    </w:p>
    <w:p>
      <w:pPr>
        <w:pageBreakBefore/>
      </w:pPr>
    </w:p>
    <w:p>
      <w:pPr>
        <w:pStyle w:val="Heading1"/>
        <w:spacing w:after="200" w:before="360"/>
      </w:pPr>
      <w:r>
        <w:rPr>
          <w:rFonts w:ascii="Calibri" w:cs="Calibri" w:eastAsia="Calibri" w:hAnsi="Calibri"/>
          <w:b/>
          <w:bCs/>
          <w:color w:val="1F4E79"/>
          <w:sz w:val="32"/>
          <w:szCs w:val="32"/>
        </w:rPr>
        <w:t xml:space="preserve">5. Fases do Onboarding Técnico</w:t>
      </w:r>
    </w:p>
    <w:p>
      <w:pPr>
        <w:spacing w:after="80" w:before="80" w:line="300"/>
        <w:jc w:val="both"/>
      </w:pPr>
      <w:r>
        <w:rPr>
          <w:rFonts w:ascii="Calibri" w:cs="Calibri" w:eastAsia="Calibri" w:hAnsi="Calibri"/>
          <w:b w:val="false"/>
          <w:bCs w:val="false"/>
          <w:i w:val="false"/>
          <w:iCs w:val="false"/>
          <w:color w:val="1F2937"/>
          <w:sz w:val="22"/>
          <w:szCs w:val="22"/>
        </w:rPr>
        <w:t xml:space="preserve">O onboarding é estruturado em quatro fases sequenciais. Cada fase libera um conjunto incremental de acessos e exige que critérios objetivos de transição sejam atingidos antes do avanço. O modelo protege a empresa contra incidentes em contratações que não se confirmem e oferece ao novo membro uma curva de aprendizado clara, com responsabilidades bem dimensionadas.</w:t>
      </w:r>
    </w:p>
    <w:p>
      <w:pPr>
        <w:pStyle w:val="Heading2"/>
        <w:spacing w:after="140" w:before="280"/>
      </w:pPr>
      <w:r>
        <w:rPr>
          <w:rFonts w:ascii="Calibri" w:cs="Calibri" w:eastAsia="Calibri" w:hAnsi="Calibri"/>
          <w:b/>
          <w:bCs/>
          <w:color w:val="2E75B6"/>
          <w:sz w:val="26"/>
          <w:szCs w:val="26"/>
        </w:rPr>
        <w:t xml:space="preserve">Fase 0 — Pré-Onboarding (anterior ao primeiro dia)</w:t>
      </w:r>
    </w:p>
    <w:p>
      <w:pPr>
        <w:spacing w:after="80" w:before="80" w:line="300"/>
        <w:jc w:val="both"/>
      </w:pPr>
      <w:r>
        <w:rPr>
          <w:rFonts w:ascii="Calibri" w:cs="Calibri" w:eastAsia="Calibri" w:hAnsi="Calibri"/>
          <w:b/>
          <w:bCs/>
          <w:i w:val="false"/>
          <w:iCs w:val="false"/>
          <w:color w:val="1F2937"/>
          <w:sz w:val="22"/>
          <w:szCs w:val="22"/>
        </w:rPr>
        <w:t xml:space="preserve">Duração: </w:t>
      </w:r>
      <w:r>
        <w:rPr>
          <w:rFonts w:ascii="Calibri" w:cs="Calibri" w:eastAsia="Calibri" w:hAnsi="Calibri"/>
          <w:b w:val="false"/>
          <w:bCs w:val="false"/>
          <w:i w:val="false"/>
          <w:iCs w:val="false"/>
          <w:color w:val="1F2937"/>
          <w:sz w:val="22"/>
          <w:szCs w:val="22"/>
        </w:rPr>
        <w:t xml:space="preserve">1 a 3 dias úteis.</w:t>
      </w:r>
    </w:p>
    <w:p>
      <w:pPr>
        <w:spacing w:after="80" w:before="80" w:line="300"/>
        <w:jc w:val="both"/>
      </w:pPr>
      <w:r>
        <w:rPr>
          <w:rFonts w:ascii="Calibri" w:cs="Calibri" w:eastAsia="Calibri" w:hAnsi="Calibri"/>
          <w:b/>
          <w:bCs/>
          <w:i w:val="false"/>
          <w:iCs w:val="false"/>
          <w:color w:val="1F2937"/>
          <w:sz w:val="22"/>
          <w:szCs w:val="22"/>
        </w:rPr>
        <w:t xml:space="preserve">Objetivo: </w:t>
      </w:r>
      <w:r>
        <w:rPr>
          <w:rFonts w:ascii="Calibri" w:cs="Calibri" w:eastAsia="Calibri" w:hAnsi="Calibri"/>
          <w:b w:val="false"/>
          <w:bCs w:val="false"/>
          <w:i w:val="false"/>
          <w:iCs w:val="false"/>
          <w:color w:val="1F2937"/>
          <w:sz w:val="22"/>
          <w:szCs w:val="22"/>
        </w:rPr>
        <w:t xml:space="preserve">Coletar aceites jurídicos e provisionar identidade no Entra ID.</w:t>
      </w:r>
    </w:p>
    <w:p>
      <w:pPr>
        <w:pStyle w:val="Heading3"/>
        <w:spacing w:after="100" w:before="200"/>
      </w:pPr>
      <w:r>
        <w:rPr>
          <w:rFonts w:ascii="Calibri" w:cs="Calibri" w:eastAsia="Calibri" w:hAnsi="Calibri"/>
          <w:b/>
          <w:bCs/>
          <w:color w:val="1F2937"/>
          <w:sz w:val="23"/>
          <w:szCs w:val="23"/>
        </w:rPr>
        <w:t xml:space="preserve">Atividades da Direção Técnica</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Enviar pacote de termos via Forms (Seção 4).</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Provisionar conta no Microsoft Entra ID com nomenclatura padrão (nome.sobrenome@ianorth).</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Adicionar à fila de espera dos grupos de segurança G-Devs-Leitura e G-Teams-Geral.</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Preparar laptop ou validar configuração mínima do equipamento pessoal (2FA, antivírus, criptografia de disco).</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Agendar sessão de boas-vindas de 60 minutos no calendário do primeiro dia.</w:t>
      </w:r>
    </w:p>
    <w:p>
      <w:pPr>
        <w:pStyle w:val="Heading3"/>
        <w:spacing w:after="100" w:before="200"/>
      </w:pPr>
      <w:r>
        <w:rPr>
          <w:rFonts w:ascii="Calibri" w:cs="Calibri" w:eastAsia="Calibri" w:hAnsi="Calibri"/>
          <w:b/>
          <w:bCs/>
          <w:color w:val="1F2937"/>
          <w:sz w:val="23"/>
          <w:szCs w:val="23"/>
        </w:rPr>
        <w:t xml:space="preserve">Critério de Avanço</w:t>
      </w:r>
    </w:p>
    <w:p>
      <w:pPr>
        <w:pStyle w:val="ListParagraph"/>
        <w:numPr>
          <w:ilvl w:val="0"/>
          <w:numId w:val="2"/>
        </w:numPr>
        <w:spacing w:after="40" w:before="40" w:line="280"/>
      </w:pPr>
      <w:r>
        <w:rPr>
          <w:rFonts w:ascii="Calibri" w:cs="Calibri" w:eastAsia="Calibri" w:hAnsi="Calibri"/>
          <w:color w:val="1F2937"/>
          <w:sz w:val="22"/>
          <w:szCs w:val="22"/>
        </w:rPr>
        <w:t xml:space="preserve">Pacote de termos assinado e arquivado no SharePoint.</w:t>
      </w:r>
    </w:p>
    <w:p>
      <w:pPr>
        <w:pStyle w:val="ListParagraph"/>
        <w:numPr>
          <w:ilvl w:val="0"/>
          <w:numId w:val="2"/>
        </w:numPr>
        <w:spacing w:after="40" w:before="40" w:line="280"/>
      </w:pPr>
      <w:r>
        <w:rPr>
          <w:rFonts w:ascii="Calibri" w:cs="Calibri" w:eastAsia="Calibri" w:hAnsi="Calibri"/>
          <w:color w:val="1F2937"/>
          <w:sz w:val="22"/>
          <w:szCs w:val="22"/>
        </w:rPr>
        <w:t xml:space="preserve">Conta Entra ID criada e 2FA configurado.</w:t>
      </w:r>
    </w:p>
    <w:p>
      <w:pPr>
        <w:pStyle w:val="ListParagraph"/>
        <w:numPr>
          <w:ilvl w:val="0"/>
          <w:numId w:val="2"/>
        </w:numPr>
        <w:spacing w:after="40" w:before="40" w:line="280"/>
      </w:pPr>
      <w:r>
        <w:rPr>
          <w:rFonts w:ascii="Calibri" w:cs="Calibri" w:eastAsia="Calibri" w:hAnsi="Calibri"/>
          <w:color w:val="1F2937"/>
          <w:sz w:val="22"/>
          <w:szCs w:val="22"/>
        </w:rPr>
        <w:t xml:space="preserve">Equipamento validado.</w:t>
      </w:r>
    </w:p>
    <w:p>
      <w:pPr>
        <w:pStyle w:val="Heading2"/>
        <w:spacing w:after="140" w:before="280"/>
      </w:pPr>
      <w:r>
        <w:rPr>
          <w:rFonts w:ascii="Calibri" w:cs="Calibri" w:eastAsia="Calibri" w:hAnsi="Calibri"/>
          <w:b/>
          <w:bCs/>
          <w:color w:val="2E75B6"/>
          <w:sz w:val="26"/>
          <w:szCs w:val="26"/>
        </w:rPr>
        <w:t xml:space="preserve">Fase 1 — Acesso de Leitura e Ambientação</w:t>
      </w:r>
    </w:p>
    <w:p>
      <w:pPr>
        <w:spacing w:after="80" w:before="80" w:line="300"/>
        <w:jc w:val="both"/>
      </w:pPr>
      <w:r>
        <w:rPr>
          <w:rFonts w:ascii="Calibri" w:cs="Calibri" w:eastAsia="Calibri" w:hAnsi="Calibri"/>
          <w:b/>
          <w:bCs/>
          <w:i w:val="false"/>
          <w:iCs w:val="false"/>
          <w:color w:val="1F2937"/>
          <w:sz w:val="22"/>
          <w:szCs w:val="22"/>
        </w:rPr>
        <w:t xml:space="preserve">Duração: </w:t>
      </w:r>
      <w:r>
        <w:rPr>
          <w:rFonts w:ascii="Calibri" w:cs="Calibri" w:eastAsia="Calibri" w:hAnsi="Calibri"/>
          <w:b w:val="false"/>
          <w:bCs w:val="false"/>
          <w:i w:val="false"/>
          <w:iCs w:val="false"/>
          <w:color w:val="1F2937"/>
          <w:sz w:val="22"/>
          <w:szCs w:val="22"/>
        </w:rPr>
        <w:t xml:space="preserve">Dias 1 a 5.</w:t>
      </w:r>
    </w:p>
    <w:p>
      <w:pPr>
        <w:spacing w:after="80" w:before="80" w:line="300"/>
        <w:jc w:val="both"/>
      </w:pPr>
      <w:r>
        <w:rPr>
          <w:rFonts w:ascii="Calibri" w:cs="Calibri" w:eastAsia="Calibri" w:hAnsi="Calibri"/>
          <w:b/>
          <w:bCs/>
          <w:i w:val="false"/>
          <w:iCs w:val="false"/>
          <w:color w:val="1F2937"/>
          <w:sz w:val="22"/>
          <w:szCs w:val="22"/>
        </w:rPr>
        <w:t xml:space="preserve">Objetivo: </w:t>
      </w:r>
      <w:r>
        <w:rPr>
          <w:rFonts w:ascii="Calibri" w:cs="Calibri" w:eastAsia="Calibri" w:hAnsi="Calibri"/>
          <w:b w:val="false"/>
          <w:bCs w:val="false"/>
          <w:i w:val="false"/>
          <w:iCs w:val="false"/>
          <w:color w:val="1F2937"/>
          <w:sz w:val="22"/>
          <w:szCs w:val="22"/>
        </w:rPr>
        <w:t xml:space="preserve">Permitir que o desenvolvedor compreenda a arquitetura, o domínio do negócio e o fluxo de trabalho antes de tocar em código produtivo.</w:t>
      </w:r>
    </w:p>
    <w:p>
      <w:pPr>
        <w:pStyle w:val="Heading3"/>
        <w:spacing w:after="100" w:before="200"/>
      </w:pPr>
      <w:r>
        <w:rPr>
          <w:rFonts w:ascii="Calibri" w:cs="Calibri" w:eastAsia="Calibri" w:hAnsi="Calibri"/>
          <w:b/>
          <w:bCs/>
          <w:color w:val="1F2937"/>
          <w:sz w:val="23"/>
          <w:szCs w:val="23"/>
        </w:rPr>
        <w:t xml:space="preserve">Acessos Concedidos</w:t>
      </w:r>
    </w:p>
    <w:p>
      <w:pPr>
        <w:pStyle w:val="ListParagraph"/>
        <w:numPr>
          <w:ilvl w:val="0"/>
          <w:numId w:val="2"/>
        </w:numPr>
        <w:spacing w:after="40" w:before="40" w:line="280"/>
      </w:pPr>
      <w:r>
        <w:rPr>
          <w:rFonts w:ascii="Calibri" w:cs="Calibri" w:eastAsia="Calibri" w:hAnsi="Calibri"/>
          <w:color w:val="1F2937"/>
          <w:sz w:val="22"/>
          <w:szCs w:val="22"/>
        </w:rPr>
        <w:t xml:space="preserve">Microsoft Teams: canais #geral, #dev-geral, #aprendizado, #duvidas-juniores.</w:t>
      </w:r>
    </w:p>
    <w:p>
      <w:pPr>
        <w:pStyle w:val="ListParagraph"/>
        <w:numPr>
          <w:ilvl w:val="0"/>
          <w:numId w:val="2"/>
        </w:numPr>
        <w:spacing w:after="40" w:before="40" w:line="280"/>
      </w:pPr>
      <w:r>
        <w:rPr>
          <w:rFonts w:ascii="Calibri" w:cs="Calibri" w:eastAsia="Calibri" w:hAnsi="Calibri"/>
          <w:color w:val="1F2937"/>
          <w:sz w:val="22"/>
          <w:szCs w:val="22"/>
        </w:rPr>
        <w:t xml:space="preserve">SharePoint: pasta de documentação técnica em modo somente-leitura.</w:t>
      </w:r>
    </w:p>
    <w:p>
      <w:pPr>
        <w:pStyle w:val="ListParagraph"/>
        <w:numPr>
          <w:ilvl w:val="0"/>
          <w:numId w:val="2"/>
        </w:numPr>
        <w:spacing w:after="40" w:before="40" w:line="280"/>
      </w:pPr>
      <w:r>
        <w:rPr>
          <w:rFonts w:ascii="Calibri" w:cs="Calibri" w:eastAsia="Calibri" w:hAnsi="Calibri"/>
          <w:color w:val="1F2937"/>
          <w:sz w:val="22"/>
          <w:szCs w:val="22"/>
        </w:rPr>
        <w:t xml:space="preserve">GitHub: convite à organização IANorth-Tecnologia com permissão Read em repositórios definidos pela Direção Técnica.</w:t>
      </w:r>
    </w:p>
    <w:p>
      <w:pPr>
        <w:pStyle w:val="ListParagraph"/>
        <w:numPr>
          <w:ilvl w:val="0"/>
          <w:numId w:val="2"/>
        </w:numPr>
        <w:spacing w:after="40" w:before="40" w:line="280"/>
      </w:pPr>
      <w:r>
        <w:rPr>
          <w:rFonts w:ascii="Calibri" w:cs="Calibri" w:eastAsia="Calibri" w:hAnsi="Calibri"/>
          <w:color w:val="1F2937"/>
          <w:sz w:val="22"/>
          <w:szCs w:val="22"/>
        </w:rPr>
        <w:t xml:space="preserve">Acesso ao GitHub Wiki e ao backlog público no Planner.</w:t>
      </w:r>
    </w:p>
    <w:p>
      <w:pPr>
        <w:pStyle w:val="Heading3"/>
        <w:spacing w:after="100" w:before="200"/>
      </w:pPr>
      <w:r>
        <w:rPr>
          <w:rFonts w:ascii="Calibri" w:cs="Calibri" w:eastAsia="Calibri" w:hAnsi="Calibri"/>
          <w:b/>
          <w:bCs/>
          <w:color w:val="1F2937"/>
          <w:sz w:val="23"/>
          <w:szCs w:val="23"/>
        </w:rPr>
        <w:t xml:space="preserve">Acessos Explicitamente Negados Nesta Fase</w:t>
      </w:r>
    </w:p>
    <w:p>
      <w:pPr>
        <w:pStyle w:val="ListParagraph"/>
        <w:numPr>
          <w:ilvl w:val="0"/>
          <w:numId w:val="2"/>
        </w:numPr>
        <w:spacing w:after="40" w:before="40" w:line="280"/>
      </w:pPr>
      <w:r>
        <w:rPr>
          <w:rFonts w:ascii="Calibri" w:cs="Calibri" w:eastAsia="Calibri" w:hAnsi="Calibri"/>
          <w:color w:val="1F2937"/>
          <w:sz w:val="22"/>
          <w:szCs w:val="22"/>
        </w:rPr>
        <w:t xml:space="preserve">Credenciais de banco de dados, chaves de API, secrets de qualquer natureza.</w:t>
      </w:r>
    </w:p>
    <w:p>
      <w:pPr>
        <w:pStyle w:val="ListParagraph"/>
        <w:numPr>
          <w:ilvl w:val="0"/>
          <w:numId w:val="2"/>
        </w:numPr>
        <w:spacing w:after="40" w:before="40" w:line="280"/>
      </w:pPr>
      <w:r>
        <w:rPr>
          <w:rFonts w:ascii="Calibri" w:cs="Calibri" w:eastAsia="Calibri" w:hAnsi="Calibri"/>
          <w:color w:val="1F2937"/>
          <w:sz w:val="22"/>
          <w:szCs w:val="22"/>
        </w:rPr>
        <w:t xml:space="preserve">Ambiente de produção (incluindo ambiente Sinobras em campo).</w:t>
      </w:r>
    </w:p>
    <w:p>
      <w:pPr>
        <w:pStyle w:val="ListParagraph"/>
        <w:numPr>
          <w:ilvl w:val="0"/>
          <w:numId w:val="2"/>
        </w:numPr>
        <w:spacing w:after="40" w:before="40" w:line="280"/>
      </w:pPr>
      <w:r>
        <w:rPr>
          <w:rFonts w:ascii="Calibri" w:cs="Calibri" w:eastAsia="Calibri" w:hAnsi="Calibri"/>
          <w:color w:val="1F2937"/>
          <w:sz w:val="22"/>
          <w:szCs w:val="22"/>
        </w:rPr>
        <w:t xml:space="preserve">Permissão de Write em qualquer repositório.</w:t>
      </w:r>
    </w:p>
    <w:p>
      <w:pPr>
        <w:pStyle w:val="ListParagraph"/>
        <w:numPr>
          <w:ilvl w:val="0"/>
          <w:numId w:val="2"/>
        </w:numPr>
        <w:spacing w:after="40" w:before="40" w:line="280"/>
      </w:pPr>
      <w:r>
        <w:rPr>
          <w:rFonts w:ascii="Calibri" w:cs="Calibri" w:eastAsia="Calibri" w:hAnsi="Calibri"/>
          <w:color w:val="1F2937"/>
          <w:sz w:val="22"/>
          <w:szCs w:val="22"/>
        </w:rPr>
        <w:t xml:space="preserve">Acesso a contratos, documentos comerciais ou financeiros.</w:t>
      </w:r>
    </w:p>
    <w:p>
      <w:pPr>
        <w:pStyle w:val="Heading3"/>
        <w:spacing w:after="100" w:before="200"/>
      </w:pPr>
      <w:r>
        <w:rPr>
          <w:rFonts w:ascii="Calibri" w:cs="Calibri" w:eastAsia="Calibri" w:hAnsi="Calibri"/>
          <w:b/>
          <w:bCs/>
          <w:color w:val="1F2937"/>
          <w:sz w:val="23"/>
          <w:szCs w:val="23"/>
        </w:rPr>
        <w:t xml:space="preserve">Atividades Esperadas do Novo Dev</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Completar leitura das Diretrizes de Engenharia e deste Playbook.</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Estudar arquitetura geral dos sistemas da IANorth (visão de alto nível).</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Configurar ambiente local de desenvolvimento via Docker.</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Realizar pareamento observacional com a Direção Técnica em pelo menos uma sessão de code review.</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Registrar dúvidas no canal #duvidas-juniores — não há pergunta inadequada nesta fase.</w:t>
      </w:r>
    </w:p>
    <w:p>
      <w:pPr>
        <w:pStyle w:val="Heading3"/>
        <w:spacing w:after="100" w:before="200"/>
      </w:pPr>
      <w:r>
        <w:rPr>
          <w:rFonts w:ascii="Calibri" w:cs="Calibri" w:eastAsia="Calibri" w:hAnsi="Calibri"/>
          <w:b/>
          <w:bCs/>
          <w:color w:val="1F2937"/>
          <w:sz w:val="23"/>
          <w:szCs w:val="23"/>
        </w:rPr>
        <w:t xml:space="preserve">Critério de Avanço para Fase 2</w:t>
      </w:r>
    </w:p>
    <w:p>
      <w:pPr>
        <w:pStyle w:val="ListParagraph"/>
        <w:numPr>
          <w:ilvl w:val="0"/>
          <w:numId w:val="2"/>
        </w:numPr>
        <w:spacing w:after="40" w:before="40" w:line="280"/>
      </w:pPr>
      <w:r>
        <w:rPr>
          <w:rFonts w:ascii="Calibri" w:cs="Calibri" w:eastAsia="Calibri" w:hAnsi="Calibri"/>
          <w:color w:val="1F2937"/>
          <w:sz w:val="22"/>
          <w:szCs w:val="22"/>
        </w:rPr>
        <w:t xml:space="preserve">Ambiente local funcional, capaz de executar pelo menos um dos serviços em modo de desenvolvimento.</w:t>
      </w:r>
    </w:p>
    <w:p>
      <w:pPr>
        <w:pStyle w:val="ListParagraph"/>
        <w:numPr>
          <w:ilvl w:val="0"/>
          <w:numId w:val="2"/>
        </w:numPr>
        <w:spacing w:after="40" w:before="40" w:line="280"/>
      </w:pPr>
      <w:r>
        <w:rPr>
          <w:rFonts w:ascii="Calibri" w:cs="Calibri" w:eastAsia="Calibri" w:hAnsi="Calibri"/>
          <w:color w:val="1F2937"/>
          <w:sz w:val="22"/>
          <w:szCs w:val="22"/>
        </w:rPr>
        <w:t xml:space="preserve">Compreensão demonstrada das Diretrizes em conversa de validação com a Direção Técnica.</w:t>
      </w:r>
    </w:p>
    <w:p>
      <w:pPr>
        <w:pStyle w:val="ListParagraph"/>
        <w:numPr>
          <w:ilvl w:val="0"/>
          <w:numId w:val="2"/>
        </w:numPr>
        <w:spacing w:after="40" w:before="40" w:line="280"/>
      </w:pPr>
      <w:r>
        <w:rPr>
          <w:rFonts w:ascii="Calibri" w:cs="Calibri" w:eastAsia="Calibri" w:hAnsi="Calibri"/>
          <w:color w:val="1F2937"/>
          <w:sz w:val="22"/>
          <w:szCs w:val="22"/>
        </w:rPr>
        <w:t xml:space="preserve">Primeira tarefa de complexidade reduzida atribuída no Planner.</w:t>
      </w:r>
    </w:p>
    <w:p>
      <w:pPr>
        <w:pStyle w:val="Heading2"/>
        <w:spacing w:after="140" w:before="280"/>
      </w:pPr>
      <w:r>
        <w:rPr>
          <w:rFonts w:ascii="Calibri" w:cs="Calibri" w:eastAsia="Calibri" w:hAnsi="Calibri"/>
          <w:b/>
          <w:bCs/>
          <w:color w:val="2E75B6"/>
          <w:sz w:val="26"/>
          <w:szCs w:val="26"/>
        </w:rPr>
        <w:t xml:space="preserve">Fase 2 — Contribuição Supervisionada</w:t>
      </w:r>
    </w:p>
    <w:p>
      <w:pPr>
        <w:spacing w:after="80" w:before="80" w:line="300"/>
        <w:jc w:val="both"/>
      </w:pPr>
      <w:r>
        <w:rPr>
          <w:rFonts w:ascii="Calibri" w:cs="Calibri" w:eastAsia="Calibri" w:hAnsi="Calibri"/>
          <w:b/>
          <w:bCs/>
          <w:i w:val="false"/>
          <w:iCs w:val="false"/>
          <w:color w:val="1F2937"/>
          <w:sz w:val="22"/>
          <w:szCs w:val="22"/>
        </w:rPr>
        <w:t xml:space="preserve">Duração: </w:t>
      </w:r>
      <w:r>
        <w:rPr>
          <w:rFonts w:ascii="Calibri" w:cs="Calibri" w:eastAsia="Calibri" w:hAnsi="Calibri"/>
          <w:b w:val="false"/>
          <w:bCs w:val="false"/>
          <w:i w:val="false"/>
          <w:iCs w:val="false"/>
          <w:color w:val="1F2937"/>
          <w:sz w:val="22"/>
          <w:szCs w:val="22"/>
        </w:rPr>
        <w:t xml:space="preserve">Dias 6 a 30.</w:t>
      </w:r>
    </w:p>
    <w:p>
      <w:pPr>
        <w:spacing w:after="80" w:before="80" w:line="300"/>
        <w:jc w:val="both"/>
      </w:pPr>
      <w:r>
        <w:rPr>
          <w:rFonts w:ascii="Calibri" w:cs="Calibri" w:eastAsia="Calibri" w:hAnsi="Calibri"/>
          <w:b/>
          <w:bCs/>
          <w:i w:val="false"/>
          <w:iCs w:val="false"/>
          <w:color w:val="1F2937"/>
          <w:sz w:val="22"/>
          <w:szCs w:val="22"/>
        </w:rPr>
        <w:t xml:space="preserve">Objetivo: </w:t>
      </w:r>
      <w:r>
        <w:rPr>
          <w:rFonts w:ascii="Calibri" w:cs="Calibri" w:eastAsia="Calibri" w:hAnsi="Calibri"/>
          <w:b w:val="false"/>
          <w:bCs w:val="false"/>
          <w:i w:val="false"/>
          <w:iCs w:val="false"/>
          <w:color w:val="1F2937"/>
          <w:sz w:val="22"/>
          <w:szCs w:val="22"/>
        </w:rPr>
        <w:t xml:space="preserve">Permitir contribuições de código em ambiente isolado, sob supervisão direta via Pull Request.</w:t>
      </w:r>
    </w:p>
    <w:p>
      <w:pPr>
        <w:pStyle w:val="Heading3"/>
        <w:spacing w:after="100" w:before="200"/>
      </w:pPr>
      <w:r>
        <w:rPr>
          <w:rFonts w:ascii="Calibri" w:cs="Calibri" w:eastAsia="Calibri" w:hAnsi="Calibri"/>
          <w:b/>
          <w:bCs/>
          <w:color w:val="1F2937"/>
          <w:sz w:val="23"/>
          <w:szCs w:val="23"/>
        </w:rPr>
        <w:t xml:space="preserve">Acessos Adicionais Concedidos</w:t>
      </w:r>
    </w:p>
    <w:p>
      <w:pPr>
        <w:pStyle w:val="ListParagraph"/>
        <w:numPr>
          <w:ilvl w:val="0"/>
          <w:numId w:val="2"/>
        </w:numPr>
        <w:spacing w:after="40" w:before="40" w:line="280"/>
      </w:pPr>
      <w:r>
        <w:rPr>
          <w:rFonts w:ascii="Calibri" w:cs="Calibri" w:eastAsia="Calibri" w:hAnsi="Calibri"/>
          <w:color w:val="1F2937"/>
          <w:sz w:val="22"/>
          <w:szCs w:val="22"/>
        </w:rPr>
        <w:t xml:space="preserve">Promoção a Write no GitHub em repositórios específicos (não na branch main, sempre via PR).</w:t>
      </w:r>
    </w:p>
    <w:p>
      <w:pPr>
        <w:pStyle w:val="ListParagraph"/>
        <w:numPr>
          <w:ilvl w:val="0"/>
          <w:numId w:val="2"/>
        </w:numPr>
        <w:spacing w:after="40" w:before="40" w:line="280"/>
      </w:pPr>
      <w:r>
        <w:rPr>
          <w:rFonts w:ascii="Calibri" w:cs="Calibri" w:eastAsia="Calibri" w:hAnsi="Calibri"/>
          <w:color w:val="1F2937"/>
          <w:sz w:val="22"/>
          <w:szCs w:val="22"/>
        </w:rPr>
        <w:t xml:space="preserve">Inclusão nos canais Teams de projeto (ex.: #sinobras-app1-dev, #sinobras-app2-dev).</w:t>
      </w:r>
    </w:p>
    <w:p>
      <w:pPr>
        <w:pStyle w:val="ListParagraph"/>
        <w:numPr>
          <w:ilvl w:val="0"/>
          <w:numId w:val="2"/>
        </w:numPr>
        <w:spacing w:after="40" w:before="40" w:line="280"/>
      </w:pPr>
      <w:r>
        <w:rPr>
          <w:rFonts w:ascii="Calibri" w:cs="Calibri" w:eastAsia="Calibri" w:hAnsi="Calibri"/>
          <w:color w:val="1F2937"/>
          <w:sz w:val="22"/>
          <w:szCs w:val="22"/>
        </w:rPr>
        <w:t xml:space="preserve">Acesso a ambiente de desenvolvimento e staging com dados sintéticos ou anonimizados.</w:t>
      </w:r>
    </w:p>
    <w:p>
      <w:pPr>
        <w:pStyle w:val="ListParagraph"/>
        <w:numPr>
          <w:ilvl w:val="0"/>
          <w:numId w:val="2"/>
        </w:numPr>
        <w:spacing w:after="40" w:before="40" w:line="280"/>
      </w:pPr>
      <w:r>
        <w:rPr>
          <w:rFonts w:ascii="Calibri" w:cs="Calibri" w:eastAsia="Calibri" w:hAnsi="Calibri"/>
          <w:color w:val="1F2937"/>
          <w:sz w:val="22"/>
          <w:szCs w:val="22"/>
        </w:rPr>
        <w:t xml:space="preserve">Permissão de criação de branches conforme convenção Gitflow.</w:t>
      </w:r>
    </w:p>
    <w:p>
      <w:pPr>
        <w:pStyle w:val="Heading3"/>
        <w:spacing w:after="100" w:before="200"/>
      </w:pPr>
      <w:r>
        <w:rPr>
          <w:rFonts w:ascii="Calibri" w:cs="Calibri" w:eastAsia="Calibri" w:hAnsi="Calibri"/>
          <w:b/>
          <w:bCs/>
          <w:color w:val="1F2937"/>
          <w:sz w:val="23"/>
          <w:szCs w:val="23"/>
        </w:rPr>
        <w:t xml:space="preserve">Regras de Contribuição Obrigatórias</w:t>
      </w:r>
    </w:p>
    <w:p>
      <w:pPr>
        <w:pStyle w:val="ListParagraph"/>
        <w:numPr>
          <w:ilvl w:val="0"/>
          <w:numId w:val="2"/>
        </w:numPr>
        <w:spacing w:after="40" w:before="40" w:line="280"/>
      </w:pPr>
      <w:r>
        <w:rPr>
          <w:rFonts w:ascii="Calibri" w:cs="Calibri" w:eastAsia="Calibri" w:hAnsi="Calibri"/>
          <w:color w:val="1F2937"/>
          <w:sz w:val="22"/>
          <w:szCs w:val="22"/>
        </w:rPr>
        <w:t xml:space="preserve">Toda alteração ocorre em branch própria, jamais em main, develop ou release diretamente.</w:t>
      </w:r>
    </w:p>
    <w:p>
      <w:pPr>
        <w:pStyle w:val="ListParagraph"/>
        <w:numPr>
          <w:ilvl w:val="0"/>
          <w:numId w:val="2"/>
        </w:numPr>
        <w:spacing w:after="40" w:before="40" w:line="280"/>
      </w:pPr>
      <w:r>
        <w:rPr>
          <w:rFonts w:ascii="Calibri" w:cs="Calibri" w:eastAsia="Calibri" w:hAnsi="Calibri"/>
          <w:color w:val="1F2937"/>
          <w:sz w:val="22"/>
          <w:szCs w:val="22"/>
        </w:rPr>
        <w:t xml:space="preserve">Todo Pull Request exige no mínimo uma aprovação da Direção Técnica antes de merge.</w:t>
      </w:r>
    </w:p>
    <w:p>
      <w:pPr>
        <w:pStyle w:val="ListParagraph"/>
        <w:numPr>
          <w:ilvl w:val="0"/>
          <w:numId w:val="2"/>
        </w:numPr>
        <w:spacing w:after="40" w:before="40" w:line="280"/>
      </w:pPr>
      <w:r>
        <w:rPr>
          <w:rFonts w:ascii="Calibri" w:cs="Calibri" w:eastAsia="Calibri" w:hAnsi="Calibri"/>
          <w:color w:val="1F2937"/>
          <w:sz w:val="22"/>
          <w:szCs w:val="22"/>
        </w:rPr>
        <w:t xml:space="preserve">Branch protection rules estão configuradas no GitHub e bloqueiam merge sem review.</w:t>
      </w:r>
    </w:p>
    <w:p>
      <w:pPr>
        <w:pStyle w:val="ListParagraph"/>
        <w:numPr>
          <w:ilvl w:val="0"/>
          <w:numId w:val="2"/>
        </w:numPr>
        <w:spacing w:after="40" w:before="40" w:line="280"/>
      </w:pPr>
      <w:r>
        <w:rPr>
          <w:rFonts w:ascii="Calibri" w:cs="Calibri" w:eastAsia="Calibri" w:hAnsi="Calibri"/>
          <w:color w:val="1F2937"/>
          <w:sz w:val="22"/>
          <w:szCs w:val="22"/>
        </w:rPr>
        <w:t xml:space="preserve">Nenhum secret, token ou credencial pode ser commitado, mesmo em branch isolada — uso obrigatório de variáveis de ambiente e Azure Key Vault.</w:t>
      </w:r>
    </w:p>
    <w:p>
      <w:pPr>
        <w:pStyle w:val="ListParagraph"/>
        <w:numPr>
          <w:ilvl w:val="0"/>
          <w:numId w:val="2"/>
        </w:numPr>
        <w:spacing w:after="40" w:before="40" w:line="280"/>
      </w:pPr>
      <w:r>
        <w:rPr>
          <w:rFonts w:ascii="Calibri" w:cs="Calibri" w:eastAsia="Calibri" w:hAnsi="Calibri"/>
          <w:color w:val="1F2937"/>
          <w:sz w:val="22"/>
          <w:szCs w:val="22"/>
        </w:rPr>
        <w:t xml:space="preserve">Mensagens de commit seguem o padrão Conventional Commits (ex.: feat:, fix:, refactor:).</w:t>
      </w:r>
    </w:p>
    <w:p>
      <w:pPr>
        <w:pStyle w:val="Heading3"/>
        <w:spacing w:after="100" w:before="200"/>
      </w:pPr>
      <w:r>
        <w:rPr>
          <w:rFonts w:ascii="Calibri" w:cs="Calibri" w:eastAsia="Calibri" w:hAnsi="Calibri"/>
          <w:b/>
          <w:bCs/>
          <w:color w:val="1F2937"/>
          <w:sz w:val="23"/>
          <w:szCs w:val="23"/>
        </w:rPr>
        <w:t xml:space="preserve">Mentoria Programada</w:t>
      </w:r>
    </w:p>
    <w:p>
      <w:pPr>
        <w:pStyle w:val="ListParagraph"/>
        <w:numPr>
          <w:ilvl w:val="0"/>
          <w:numId w:val="2"/>
        </w:numPr>
        <w:spacing w:after="40" w:before="40" w:line="280"/>
      </w:pPr>
      <w:r>
        <w:rPr>
          <w:rFonts w:ascii="Calibri" w:cs="Calibri" w:eastAsia="Calibri" w:hAnsi="Calibri"/>
          <w:color w:val="1F2937"/>
          <w:sz w:val="22"/>
          <w:szCs w:val="22"/>
        </w:rPr>
        <w:t xml:space="preserve">Reunião 1:1 semanal de 30 minutos com a Direção Técnica.</w:t>
      </w:r>
    </w:p>
    <w:p>
      <w:pPr>
        <w:pStyle w:val="ListParagraph"/>
        <w:numPr>
          <w:ilvl w:val="0"/>
          <w:numId w:val="2"/>
        </w:numPr>
        <w:spacing w:after="40" w:before="40" w:line="280"/>
      </w:pPr>
      <w:r>
        <w:rPr>
          <w:rFonts w:ascii="Calibri" w:cs="Calibri" w:eastAsia="Calibri" w:hAnsi="Calibri"/>
          <w:color w:val="1F2937"/>
          <w:sz w:val="22"/>
          <w:szCs w:val="22"/>
        </w:rPr>
        <w:t xml:space="preserve">Code review didático: cada PR aprovado vem com explicação dos pontos críticos, não apenas aprovação silenciosa.</w:t>
      </w:r>
    </w:p>
    <w:p>
      <w:pPr>
        <w:pStyle w:val="ListParagraph"/>
        <w:numPr>
          <w:ilvl w:val="0"/>
          <w:numId w:val="2"/>
        </w:numPr>
        <w:spacing w:after="40" w:before="40" w:line="280"/>
      </w:pPr>
      <w:r>
        <w:rPr>
          <w:rFonts w:ascii="Calibri" w:cs="Calibri" w:eastAsia="Calibri" w:hAnsi="Calibri"/>
          <w:color w:val="1F2937"/>
          <w:sz w:val="22"/>
          <w:szCs w:val="22"/>
        </w:rPr>
        <w:t xml:space="preserve">Acesso a fila prioritária de dúvidas técnicas no canal #duvidas-juniores.</w:t>
      </w:r>
    </w:p>
    <w:p>
      <w:pPr>
        <w:pStyle w:val="Heading3"/>
        <w:spacing w:after="100" w:before="200"/>
      </w:pPr>
      <w:r>
        <w:rPr>
          <w:rFonts w:ascii="Calibri" w:cs="Calibri" w:eastAsia="Calibri" w:hAnsi="Calibri"/>
          <w:b/>
          <w:bCs/>
          <w:color w:val="1F2937"/>
          <w:sz w:val="23"/>
          <w:szCs w:val="23"/>
        </w:rPr>
        <w:t xml:space="preserve">Critério de Avanço para Fase 3</w:t>
      </w:r>
    </w:p>
    <w:p>
      <w:pPr>
        <w:pStyle w:val="ListParagraph"/>
        <w:numPr>
          <w:ilvl w:val="0"/>
          <w:numId w:val="2"/>
        </w:numPr>
        <w:spacing w:after="40" w:before="40" w:line="280"/>
      </w:pPr>
      <w:r>
        <w:rPr>
          <w:rFonts w:ascii="Calibri" w:cs="Calibri" w:eastAsia="Calibri" w:hAnsi="Calibri"/>
          <w:color w:val="1F2937"/>
          <w:sz w:val="22"/>
          <w:szCs w:val="22"/>
        </w:rPr>
        <w:t xml:space="preserve">Pelo menos três PRs aprovados e mergeados, com impacto real em features ou correções.</w:t>
      </w:r>
    </w:p>
    <w:p>
      <w:pPr>
        <w:pStyle w:val="ListParagraph"/>
        <w:numPr>
          <w:ilvl w:val="0"/>
          <w:numId w:val="2"/>
        </w:numPr>
        <w:spacing w:after="40" w:before="40" w:line="280"/>
      </w:pPr>
      <w:r>
        <w:rPr>
          <w:rFonts w:ascii="Calibri" w:cs="Calibri" w:eastAsia="Calibri" w:hAnsi="Calibri"/>
          <w:color w:val="1F2937"/>
          <w:sz w:val="22"/>
          <w:szCs w:val="22"/>
        </w:rPr>
        <w:t xml:space="preserve">Demonstração de domínio das convenções de código e do Gitflow.</w:t>
      </w:r>
    </w:p>
    <w:p>
      <w:pPr>
        <w:pStyle w:val="ListParagraph"/>
        <w:numPr>
          <w:ilvl w:val="0"/>
          <w:numId w:val="2"/>
        </w:numPr>
        <w:spacing w:after="40" w:before="40" w:line="280"/>
      </w:pPr>
      <w:r>
        <w:rPr>
          <w:rFonts w:ascii="Calibri" w:cs="Calibri" w:eastAsia="Calibri" w:hAnsi="Calibri"/>
          <w:color w:val="1F2937"/>
          <w:sz w:val="22"/>
          <w:szCs w:val="22"/>
        </w:rPr>
        <w:t xml:space="preserve">Avaliação positiva em check-in de 30 dias com a Direção Técnica.</w:t>
      </w:r>
    </w:p>
    <w:p>
      <w:pPr>
        <w:pStyle w:val="ListParagraph"/>
        <w:numPr>
          <w:ilvl w:val="0"/>
          <w:numId w:val="2"/>
        </w:numPr>
        <w:spacing w:after="40" w:before="40" w:line="280"/>
      </w:pPr>
      <w:r>
        <w:rPr>
          <w:rFonts w:ascii="Calibri" w:cs="Calibri" w:eastAsia="Calibri" w:hAnsi="Calibri"/>
          <w:color w:val="1F2937"/>
          <w:sz w:val="22"/>
          <w:szCs w:val="22"/>
        </w:rPr>
        <w:t xml:space="preserve">Nenhum incidente de segurança ou violação das Diretrizes registrado no período.</w:t>
      </w:r>
    </w:p>
    <w:p>
      <w:pPr>
        <w:pStyle w:val="Heading2"/>
        <w:spacing w:after="140" w:before="280"/>
      </w:pPr>
      <w:r>
        <w:rPr>
          <w:rFonts w:ascii="Calibri" w:cs="Calibri" w:eastAsia="Calibri" w:hAnsi="Calibri"/>
          <w:b/>
          <w:bCs/>
          <w:color w:val="2E75B6"/>
          <w:sz w:val="26"/>
          <w:szCs w:val="26"/>
        </w:rPr>
        <w:t xml:space="preserve">Fase 3 — Acesso Pleno e Autonomia Operacional</w:t>
      </w:r>
    </w:p>
    <w:p>
      <w:pPr>
        <w:spacing w:after="80" w:before="80" w:line="300"/>
        <w:jc w:val="both"/>
      </w:pPr>
      <w:r>
        <w:rPr>
          <w:rFonts w:ascii="Calibri" w:cs="Calibri" w:eastAsia="Calibri" w:hAnsi="Calibri"/>
          <w:b/>
          <w:bCs/>
          <w:i w:val="false"/>
          <w:iCs w:val="false"/>
          <w:color w:val="1F2937"/>
          <w:sz w:val="22"/>
          <w:szCs w:val="22"/>
        </w:rPr>
        <w:t xml:space="preserve">Duração: </w:t>
      </w:r>
      <w:r>
        <w:rPr>
          <w:rFonts w:ascii="Calibri" w:cs="Calibri" w:eastAsia="Calibri" w:hAnsi="Calibri"/>
          <w:b w:val="false"/>
          <w:bCs w:val="false"/>
          <w:i w:val="false"/>
          <w:iCs w:val="false"/>
          <w:color w:val="1F2937"/>
          <w:sz w:val="22"/>
          <w:szCs w:val="22"/>
        </w:rPr>
        <w:t xml:space="preserve">A partir do dia 31, contínuo.</w:t>
      </w:r>
    </w:p>
    <w:p>
      <w:pPr>
        <w:spacing w:after="80" w:before="80" w:line="300"/>
        <w:jc w:val="both"/>
      </w:pPr>
      <w:r>
        <w:rPr>
          <w:rFonts w:ascii="Calibri" w:cs="Calibri" w:eastAsia="Calibri" w:hAnsi="Calibri"/>
          <w:b/>
          <w:bCs/>
          <w:i w:val="false"/>
          <w:iCs w:val="false"/>
          <w:color w:val="1F2937"/>
          <w:sz w:val="22"/>
          <w:szCs w:val="22"/>
        </w:rPr>
        <w:t xml:space="preserve">Objetivo: </w:t>
      </w:r>
      <w:r>
        <w:rPr>
          <w:rFonts w:ascii="Calibri" w:cs="Calibri" w:eastAsia="Calibri" w:hAnsi="Calibri"/>
          <w:b w:val="false"/>
          <w:bCs w:val="false"/>
          <w:i w:val="false"/>
          <w:iCs w:val="false"/>
          <w:color w:val="1F2937"/>
          <w:sz w:val="22"/>
          <w:szCs w:val="22"/>
        </w:rPr>
        <w:t xml:space="preserve">Conceder autonomia plena, com responsabilidade proporcional, ao desenvolvedor que demonstrou competência técnica e aderência cultural.</w:t>
      </w:r>
    </w:p>
    <w:p>
      <w:pPr>
        <w:pStyle w:val="Heading3"/>
        <w:spacing w:after="100" w:before="200"/>
      </w:pPr>
      <w:r>
        <w:rPr>
          <w:rFonts w:ascii="Calibri" w:cs="Calibri" w:eastAsia="Calibri" w:hAnsi="Calibri"/>
          <w:b/>
          <w:bCs/>
          <w:color w:val="1F2937"/>
          <w:sz w:val="23"/>
          <w:szCs w:val="23"/>
        </w:rPr>
        <w:t xml:space="preserve">Acessos Adicionais Concedidos</w:t>
      </w:r>
    </w:p>
    <w:p>
      <w:pPr>
        <w:pStyle w:val="ListParagraph"/>
        <w:numPr>
          <w:ilvl w:val="0"/>
          <w:numId w:val="2"/>
        </w:numPr>
        <w:spacing w:after="40" w:before="40" w:line="280"/>
      </w:pPr>
      <w:r>
        <w:rPr>
          <w:rFonts w:ascii="Calibri" w:cs="Calibri" w:eastAsia="Calibri" w:hAnsi="Calibri"/>
          <w:color w:val="1F2937"/>
          <w:sz w:val="22"/>
          <w:szCs w:val="22"/>
        </w:rPr>
        <w:t xml:space="preserve">Acesso ao ambiente de produção com 2FA reforçado e logging individual de todas as ações.</w:t>
      </w:r>
    </w:p>
    <w:p>
      <w:pPr>
        <w:pStyle w:val="ListParagraph"/>
        <w:numPr>
          <w:ilvl w:val="0"/>
          <w:numId w:val="2"/>
        </w:numPr>
        <w:spacing w:after="40" w:before="40" w:line="280"/>
      </w:pPr>
      <w:r>
        <w:rPr>
          <w:rFonts w:ascii="Calibri" w:cs="Calibri" w:eastAsia="Calibri" w:hAnsi="Calibri"/>
          <w:color w:val="1F2937"/>
          <w:sz w:val="22"/>
          <w:szCs w:val="22"/>
        </w:rPr>
        <w:t xml:space="preserve">Permissão para revisar e aprovar PRs de outros devs juniores (com supervisão final da Direção Técnica em PRs críticos).</w:t>
      </w:r>
    </w:p>
    <w:p>
      <w:pPr>
        <w:pStyle w:val="ListParagraph"/>
        <w:numPr>
          <w:ilvl w:val="0"/>
          <w:numId w:val="2"/>
        </w:numPr>
        <w:spacing w:after="40" w:before="40" w:line="280"/>
      </w:pPr>
      <w:r>
        <w:rPr>
          <w:rFonts w:ascii="Calibri" w:cs="Calibri" w:eastAsia="Calibri" w:hAnsi="Calibri"/>
          <w:color w:val="1F2937"/>
          <w:sz w:val="22"/>
          <w:szCs w:val="22"/>
        </w:rPr>
        <w:t xml:space="preserve">Acesso seletivo ao Azure Key Vault, limitado aos secrets do escopo de atuação.</w:t>
      </w:r>
    </w:p>
    <w:p>
      <w:pPr>
        <w:pStyle w:val="ListParagraph"/>
        <w:numPr>
          <w:ilvl w:val="0"/>
          <w:numId w:val="2"/>
        </w:numPr>
        <w:spacing w:after="40" w:before="40" w:line="280"/>
      </w:pPr>
      <w:r>
        <w:rPr>
          <w:rFonts w:ascii="Calibri" w:cs="Calibri" w:eastAsia="Calibri" w:hAnsi="Calibri"/>
          <w:color w:val="1F2937"/>
          <w:sz w:val="22"/>
          <w:szCs w:val="22"/>
        </w:rPr>
        <w:t xml:space="preserve">Capacidade de abrir incidentes em #incidentes e participar de resposta a eventos de produção.</w:t>
      </w:r>
    </w:p>
    <w:p>
      <w:pPr>
        <w:pStyle w:val="ListParagraph"/>
        <w:numPr>
          <w:ilvl w:val="0"/>
          <w:numId w:val="2"/>
        </w:numPr>
        <w:spacing w:after="40" w:before="40" w:line="280"/>
      </w:pPr>
      <w:r>
        <w:rPr>
          <w:rFonts w:ascii="Calibri" w:cs="Calibri" w:eastAsia="Calibri" w:hAnsi="Calibri"/>
          <w:color w:val="1F2937"/>
          <w:sz w:val="22"/>
          <w:szCs w:val="22"/>
        </w:rPr>
        <w:t xml:space="preserve">Quando aplicável e sob acordo prévio, atendimento técnico em campo no cliente Sinobras, sempre acompanhado em primeira ida.</w:t>
      </w:r>
    </w:p>
    <w:p>
      <w:pPr>
        <w:pStyle w:val="Heading3"/>
        <w:spacing w:after="100" w:before="200"/>
      </w:pPr>
      <w:r>
        <w:rPr>
          <w:rFonts w:ascii="Calibri" w:cs="Calibri" w:eastAsia="Calibri" w:hAnsi="Calibri"/>
          <w:b/>
          <w:bCs/>
          <w:color w:val="1F2937"/>
          <w:sz w:val="23"/>
          <w:szCs w:val="23"/>
        </w:rPr>
        <w:t xml:space="preserve">Responsabilidades Adicionais</w:t>
      </w:r>
    </w:p>
    <w:p>
      <w:pPr>
        <w:pStyle w:val="ListParagraph"/>
        <w:numPr>
          <w:ilvl w:val="0"/>
          <w:numId w:val="2"/>
        </w:numPr>
        <w:spacing w:after="40" w:before="40" w:line="280"/>
      </w:pPr>
      <w:r>
        <w:rPr>
          <w:rFonts w:ascii="Calibri" w:cs="Calibri" w:eastAsia="Calibri" w:hAnsi="Calibri"/>
          <w:color w:val="1F2937"/>
          <w:sz w:val="22"/>
          <w:szCs w:val="22"/>
        </w:rPr>
        <w:t xml:space="preserve">Documentar decisões arquiteturais relevantes em ADRs no GitHub Wiki.</w:t>
      </w:r>
    </w:p>
    <w:p>
      <w:pPr>
        <w:pStyle w:val="ListParagraph"/>
        <w:numPr>
          <w:ilvl w:val="0"/>
          <w:numId w:val="2"/>
        </w:numPr>
        <w:spacing w:after="40" w:before="40" w:line="280"/>
      </w:pPr>
      <w:r>
        <w:rPr>
          <w:rFonts w:ascii="Calibri" w:cs="Calibri" w:eastAsia="Calibri" w:hAnsi="Calibri"/>
          <w:color w:val="1F2937"/>
          <w:sz w:val="22"/>
          <w:szCs w:val="22"/>
        </w:rPr>
        <w:t xml:space="preserve">Participar do plantão de suporte conforme escala (quando estabelecida).</w:t>
      </w:r>
    </w:p>
    <w:p>
      <w:pPr>
        <w:pStyle w:val="ListParagraph"/>
        <w:numPr>
          <w:ilvl w:val="0"/>
          <w:numId w:val="2"/>
        </w:numPr>
        <w:spacing w:after="40" w:before="40" w:line="280"/>
      </w:pPr>
      <w:r>
        <w:rPr>
          <w:rFonts w:ascii="Calibri" w:cs="Calibri" w:eastAsia="Calibri" w:hAnsi="Calibri"/>
          <w:color w:val="1F2937"/>
          <w:sz w:val="22"/>
          <w:szCs w:val="22"/>
        </w:rPr>
        <w:t xml:space="preserve">Contribuir com a evolução deste próprio Playbook através de pull requests no repositório de governança.</w:t>
      </w:r>
    </w:p>
    <w:p>
      <w:pPr>
        <w:pageBreakBefore/>
      </w:pPr>
    </w:p>
    <w:p>
      <w:pPr>
        <w:pStyle w:val="Heading1"/>
        <w:spacing w:after="200" w:before="360"/>
      </w:pPr>
      <w:r>
        <w:rPr>
          <w:rFonts w:ascii="Calibri" w:cs="Calibri" w:eastAsia="Calibri" w:hAnsi="Calibri"/>
          <w:b/>
          <w:bCs/>
          <w:color w:val="1F4E79"/>
          <w:sz w:val="32"/>
          <w:szCs w:val="32"/>
        </w:rPr>
        <w:t xml:space="preserve">6. Configuração da Integração GitHub ↔ Microsoft Teams</w:t>
      </w:r>
    </w:p>
    <w:p>
      <w:pPr>
        <w:spacing w:after="80" w:before="80" w:line="300"/>
        <w:jc w:val="both"/>
      </w:pPr>
      <w:r>
        <w:rPr>
          <w:rFonts w:ascii="Calibri" w:cs="Calibri" w:eastAsia="Calibri" w:hAnsi="Calibri"/>
          <w:b w:val="false"/>
          <w:bCs w:val="false"/>
          <w:i w:val="false"/>
          <w:iCs w:val="false"/>
          <w:color w:val="1F2937"/>
          <w:sz w:val="22"/>
          <w:szCs w:val="22"/>
        </w:rPr>
        <w:t xml:space="preserve">A integração GitHub for Teams é o mecanismo central pelo qual a atividade de engenharia se torna visível em tempo real no ambiente colaborativo, transformando o Teams em painel vivo da operação técnica.</w:t>
      </w:r>
    </w:p>
    <w:p>
      <w:pPr>
        <w:pStyle w:val="Heading3"/>
        <w:spacing w:after="100" w:before="200"/>
      </w:pPr>
      <w:r>
        <w:rPr>
          <w:rFonts w:ascii="Calibri" w:cs="Calibri" w:eastAsia="Calibri" w:hAnsi="Calibri"/>
          <w:b/>
          <w:bCs/>
          <w:color w:val="1F2937"/>
          <w:sz w:val="23"/>
          <w:szCs w:val="23"/>
        </w:rPr>
        <w:t xml:space="preserve">6.1 Estrutura Recomendada de Canais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Canal</w:t>
            </w:r>
          </w:p>
        </w:tc>
        <w:tc>
          <w:tcPr>
            <w:tcW w:type="dxa" w:w="602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Conteúdo e Notificações Configuradas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#geral</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Comunicados institucionais. Sem integração GitHub.</w:t>
            </w:r>
          </w:p>
        </w:tc>
      </w:tr>
      <w:tr>
        <w:tc>
          <w:tcPr>
            <w:tcW w:type="dxa" w:w="3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#dev-geral</w:t>
            </w:r>
          </w:p>
        </w:tc>
        <w:tc>
          <w:tcPr>
            <w:tcW w:type="dxa" w:w="60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Discussões técnicas amplas. Sem subscriptions automáticas.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#sinobras-app{N}-dev</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Um canal por aplicação. Subscribe: commits, pulls, issues do repositório correspondente.</w:t>
            </w:r>
          </w:p>
        </w:tc>
      </w:tr>
      <w:tr>
        <w:tc>
          <w:tcPr>
            <w:tcW w:type="dxa" w:w="3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#code-review</w:t>
            </w:r>
          </w:p>
        </w:tc>
        <w:tc>
          <w:tcPr>
            <w:tcW w:type="dxa" w:w="60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Apenas pulls de todos os repositórios. Filtrado por estado open e review_requested.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#deploys-producao</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Subscribe: releases, deployments. Auditoria de produção.</w:t>
            </w:r>
          </w:p>
        </w:tc>
      </w:tr>
      <w:tr>
        <w:tc>
          <w:tcPr>
            <w:tcW w:type="dxa" w:w="3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#alertas-ci</w:t>
            </w:r>
          </w:p>
        </w:tc>
        <w:tc>
          <w:tcPr>
            <w:tcW w:type="dxa" w:w="60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Apenas builds com falha. Resposta rápida a quebras de pipeline.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#incidentes</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Bugs em produção, alertas críticos. Procedimento de resposta documentado em runbook.</w:t>
            </w:r>
          </w:p>
        </w:tc>
      </w:tr>
      <w:tr>
        <w:tc>
          <w:tcPr>
            <w:tcW w:type="dxa" w:w="3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#duvidas-juniores</w:t>
            </w:r>
          </w:p>
        </w:tc>
        <w:tc>
          <w:tcPr>
            <w:tcW w:type="dxa" w:w="60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Espaço seguro para perguntas durante Fases 1 e 2. Cultura explícita de não-julgamento.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#aprendizado</w:t>
            </w:r>
          </w:p>
        </w:tc>
        <w:tc>
          <w:tcPr>
            <w:tcW w:type="dxa" w:w="60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Compartilhamento de papers, cursos, links e descobertas técnicas relevantes.</w:t>
            </w:r>
          </w:p>
        </w:tc>
      </w:tr>
    </w:tbl>
    <w:p>
      <w:pPr>
        <w:spacing w:after="60" w:before="60"/>
      </w:pPr>
      <w:r>
        <w:t xml:space="preserve"/>
      </w:r>
    </w:p>
    <w:p>
      <w:pPr>
        <w:pStyle w:val="Heading3"/>
        <w:spacing w:after="100" w:before="200"/>
      </w:pPr>
      <w:r>
        <w:rPr>
          <w:rFonts w:ascii="Calibri" w:cs="Calibri" w:eastAsia="Calibri" w:hAnsi="Calibri"/>
          <w:b/>
          <w:bCs/>
          <w:color w:val="1F2937"/>
          <w:sz w:val="23"/>
          <w:szCs w:val="23"/>
        </w:rPr>
        <w:t xml:space="preserve">6.2 Comandos de Configuração do GitHub for Teams</w:t>
      </w:r>
    </w:p>
    <w:p>
      <w:pPr>
        <w:spacing w:after="80" w:before="80" w:line="300"/>
        <w:jc w:val="both"/>
      </w:pPr>
      <w:r>
        <w:rPr>
          <w:rFonts w:ascii="Calibri" w:cs="Calibri" w:eastAsia="Calibri" w:hAnsi="Calibri"/>
          <w:b w:val="false"/>
          <w:bCs w:val="false"/>
          <w:i w:val="false"/>
          <w:iCs w:val="false"/>
          <w:color w:val="1F2937"/>
          <w:sz w:val="22"/>
          <w:szCs w:val="22"/>
        </w:rPr>
        <w:t xml:space="preserve">Após instalação do app GitHub no Teams (via Apps → busca por GitHub → Adicionar), executar em cada canal os comandos abaixo, autenticando via OAuth quando solicitado:</w:t>
      </w:r>
    </w:p>
    <w:p>
      <w:pPr>
        <w:pStyle w:val="ListParagraph"/>
        <w:numPr>
          <w:ilvl w:val="0"/>
          <w:numId w:val="2"/>
        </w:numPr>
        <w:spacing w:after="40" w:before="40" w:line="280"/>
      </w:pPr>
      <w:r>
        <w:rPr>
          <w:rFonts w:ascii="Calibri" w:cs="Calibri" w:eastAsia="Calibri" w:hAnsi="Calibri"/>
          <w:color w:val="1F2937"/>
          <w:sz w:val="22"/>
          <w:szCs w:val="22"/>
        </w:rPr>
        <w:t xml:space="preserve">Em #sinobras-app1-dev:  @github subscribe IANorth-Tecnologia/sinobras-app1 commits pulls issues</w:t>
      </w:r>
    </w:p>
    <w:p>
      <w:pPr>
        <w:pStyle w:val="ListParagraph"/>
        <w:numPr>
          <w:ilvl w:val="0"/>
          <w:numId w:val="2"/>
        </w:numPr>
        <w:spacing w:after="40" w:before="40" w:line="280"/>
      </w:pPr>
      <w:r>
        <w:rPr>
          <w:rFonts w:ascii="Calibri" w:cs="Calibri" w:eastAsia="Calibri" w:hAnsi="Calibri"/>
          <w:color w:val="1F2937"/>
          <w:sz w:val="22"/>
          <w:szCs w:val="22"/>
        </w:rPr>
        <w:t xml:space="preserve">Em #code-review:  @github subscribe IANorth-Tecnologia/sinobras-app1 pulls   (repetir por repositório)</w:t>
      </w:r>
    </w:p>
    <w:p>
      <w:pPr>
        <w:pStyle w:val="ListParagraph"/>
        <w:numPr>
          <w:ilvl w:val="0"/>
          <w:numId w:val="2"/>
        </w:numPr>
        <w:spacing w:after="40" w:before="40" w:line="280"/>
      </w:pPr>
      <w:r>
        <w:rPr>
          <w:rFonts w:ascii="Calibri" w:cs="Calibri" w:eastAsia="Calibri" w:hAnsi="Calibri"/>
          <w:color w:val="1F2937"/>
          <w:sz w:val="22"/>
          <w:szCs w:val="22"/>
        </w:rPr>
        <w:t xml:space="preserve">Em #deploys-producao:  @github subscribe IANorth-Tecnologia/sinobras-app1 releases deployments</w:t>
      </w:r>
    </w:p>
    <w:p>
      <w:pPr>
        <w:pStyle w:val="ListParagraph"/>
        <w:numPr>
          <w:ilvl w:val="0"/>
          <w:numId w:val="2"/>
        </w:numPr>
        <w:spacing w:after="40" w:before="40" w:line="280"/>
      </w:pPr>
      <w:r>
        <w:rPr>
          <w:rFonts w:ascii="Calibri" w:cs="Calibri" w:eastAsia="Calibri" w:hAnsi="Calibri"/>
          <w:color w:val="1F2937"/>
          <w:sz w:val="22"/>
          <w:szCs w:val="22"/>
        </w:rPr>
        <w:t xml:space="preserve">Em #alertas-ci:  @github subscribe IANorth-Tecnologia/sinobras-app1 workflows:{event:"workflow_run",branches:["main"]} (filtrar por falha conforme documentação atualizada do app)</w:t>
      </w:r>
    </w:p>
    <w:p>
      <w:pPr>
        <w:pStyle w:val="Heading3"/>
        <w:spacing w:after="100" w:before="200"/>
      </w:pPr>
      <w:r>
        <w:rPr>
          <w:rFonts w:ascii="Calibri" w:cs="Calibri" w:eastAsia="Calibri" w:hAnsi="Calibri"/>
          <w:b/>
          <w:bCs/>
          <w:color w:val="1F2937"/>
          <w:sz w:val="23"/>
          <w:szCs w:val="23"/>
        </w:rPr>
        <w:t xml:space="preserve">6.3 Branch Protection no GitHub</w:t>
      </w:r>
    </w:p>
    <w:p>
      <w:pPr>
        <w:spacing w:after="80" w:before="80" w:line="300"/>
        <w:jc w:val="both"/>
      </w:pPr>
      <w:r>
        <w:rPr>
          <w:rFonts w:ascii="Calibri" w:cs="Calibri" w:eastAsia="Calibri" w:hAnsi="Calibri"/>
          <w:b w:val="false"/>
          <w:bCs w:val="false"/>
          <w:i w:val="false"/>
          <w:iCs w:val="false"/>
          <w:color w:val="1F2937"/>
          <w:sz w:val="22"/>
          <w:szCs w:val="22"/>
        </w:rPr>
        <w:t xml:space="preserve">Configurar nas Settings → Branches de cada repositório principal:</w:t>
      </w:r>
    </w:p>
    <w:p>
      <w:pPr>
        <w:pStyle w:val="ListParagraph"/>
        <w:numPr>
          <w:ilvl w:val="0"/>
          <w:numId w:val="2"/>
        </w:numPr>
        <w:spacing w:after="40" w:before="40" w:line="280"/>
      </w:pPr>
      <w:r>
        <w:rPr>
          <w:rFonts w:ascii="Calibri" w:cs="Calibri" w:eastAsia="Calibri" w:hAnsi="Calibri"/>
          <w:color w:val="1F2937"/>
          <w:sz w:val="22"/>
          <w:szCs w:val="22"/>
        </w:rPr>
        <w:t xml:space="preserve">Branch main e develop marcadas como protegidas.</w:t>
      </w:r>
    </w:p>
    <w:p>
      <w:pPr>
        <w:pStyle w:val="ListParagraph"/>
        <w:numPr>
          <w:ilvl w:val="0"/>
          <w:numId w:val="2"/>
        </w:numPr>
        <w:spacing w:after="40" w:before="40" w:line="280"/>
      </w:pPr>
      <w:r>
        <w:rPr>
          <w:rFonts w:ascii="Calibri" w:cs="Calibri" w:eastAsia="Calibri" w:hAnsi="Calibri"/>
          <w:color w:val="1F2937"/>
          <w:sz w:val="22"/>
          <w:szCs w:val="22"/>
        </w:rPr>
        <w:t xml:space="preserve">Require a pull request before merging — habilitado.</w:t>
      </w:r>
    </w:p>
    <w:p>
      <w:pPr>
        <w:pStyle w:val="ListParagraph"/>
        <w:numPr>
          <w:ilvl w:val="0"/>
          <w:numId w:val="2"/>
        </w:numPr>
        <w:spacing w:after="40" w:before="40" w:line="280"/>
      </w:pPr>
      <w:r>
        <w:rPr>
          <w:rFonts w:ascii="Calibri" w:cs="Calibri" w:eastAsia="Calibri" w:hAnsi="Calibri"/>
          <w:color w:val="1F2937"/>
          <w:sz w:val="22"/>
          <w:szCs w:val="22"/>
        </w:rPr>
        <w:t xml:space="preserve">Require approvals: 1 (mínimo) — aprovador deve ser membro do time core.</w:t>
      </w:r>
    </w:p>
    <w:p>
      <w:pPr>
        <w:pStyle w:val="ListParagraph"/>
        <w:numPr>
          <w:ilvl w:val="0"/>
          <w:numId w:val="2"/>
        </w:numPr>
        <w:spacing w:after="40" w:before="40" w:line="280"/>
      </w:pPr>
      <w:r>
        <w:rPr>
          <w:rFonts w:ascii="Calibri" w:cs="Calibri" w:eastAsia="Calibri" w:hAnsi="Calibri"/>
          <w:color w:val="1F2937"/>
          <w:sz w:val="22"/>
          <w:szCs w:val="22"/>
        </w:rPr>
        <w:t xml:space="preserve">Dismiss stale pull request approvals when new commits are pushed — habilitado.</w:t>
      </w:r>
    </w:p>
    <w:p>
      <w:pPr>
        <w:pStyle w:val="ListParagraph"/>
        <w:numPr>
          <w:ilvl w:val="0"/>
          <w:numId w:val="2"/>
        </w:numPr>
        <w:spacing w:after="40" w:before="40" w:line="280"/>
      </w:pPr>
      <w:r>
        <w:rPr>
          <w:rFonts w:ascii="Calibri" w:cs="Calibri" w:eastAsia="Calibri" w:hAnsi="Calibri"/>
          <w:color w:val="1F2937"/>
          <w:sz w:val="22"/>
          <w:szCs w:val="22"/>
        </w:rPr>
        <w:t xml:space="preserve">Require status checks to pass before merging — habilitado, vinculado ao pipeline CI.</w:t>
      </w:r>
    </w:p>
    <w:p>
      <w:pPr>
        <w:pStyle w:val="ListParagraph"/>
        <w:numPr>
          <w:ilvl w:val="0"/>
          <w:numId w:val="2"/>
        </w:numPr>
        <w:spacing w:after="40" w:before="40" w:line="280"/>
      </w:pPr>
      <w:r>
        <w:rPr>
          <w:rFonts w:ascii="Calibri" w:cs="Calibri" w:eastAsia="Calibri" w:hAnsi="Calibri"/>
          <w:color w:val="1F2937"/>
          <w:sz w:val="22"/>
          <w:szCs w:val="22"/>
        </w:rPr>
        <w:t xml:space="preserve">Require linear history — recomendado para clareza do histórico.</w:t>
      </w:r>
    </w:p>
    <w:p>
      <w:pPr>
        <w:pStyle w:val="ListParagraph"/>
        <w:numPr>
          <w:ilvl w:val="0"/>
          <w:numId w:val="2"/>
        </w:numPr>
        <w:spacing w:after="40" w:before="40" w:line="280"/>
      </w:pPr>
      <w:r>
        <w:rPr>
          <w:rFonts w:ascii="Calibri" w:cs="Calibri" w:eastAsia="Calibri" w:hAnsi="Calibri"/>
          <w:color w:val="1F2937"/>
          <w:sz w:val="22"/>
          <w:szCs w:val="22"/>
        </w:rPr>
        <w:t xml:space="preserve">Do not allow bypassing the above settings — habilitado, inclusive para administradores.</w:t>
      </w:r>
    </w:p>
    <w:p>
      <w:pPr>
        <w:pageBreakBefore/>
      </w:pPr>
    </w:p>
    <w:p>
      <w:pPr>
        <w:pStyle w:val="Heading1"/>
        <w:spacing w:after="200" w:before="360"/>
      </w:pPr>
      <w:r>
        <w:rPr>
          <w:rFonts w:ascii="Calibri" w:cs="Calibri" w:eastAsia="Calibri" w:hAnsi="Calibri"/>
          <w:b/>
          <w:bCs/>
          <w:color w:val="1F4E79"/>
          <w:sz w:val="32"/>
          <w:szCs w:val="32"/>
        </w:rPr>
        <w:t xml:space="preserve">7. Grupos de Segurança no Microsoft Entra ID</w:t>
      </w:r>
    </w:p>
    <w:p>
      <w:pPr>
        <w:spacing w:after="80" w:before="80" w:line="300"/>
        <w:jc w:val="both"/>
      </w:pPr>
      <w:r>
        <w:rPr>
          <w:rFonts w:ascii="Calibri" w:cs="Calibri" w:eastAsia="Calibri" w:hAnsi="Calibri"/>
          <w:b w:val="false"/>
          <w:bCs w:val="false"/>
          <w:i w:val="false"/>
          <w:iCs w:val="false"/>
          <w:color w:val="1F2937"/>
          <w:sz w:val="22"/>
          <w:szCs w:val="22"/>
        </w:rPr>
        <w:t xml:space="preserve">A administração de acessos é feita exclusivamente via grupos. Nunca por concessão direta a usuário individual. A correspondência entre fase do onboarding e grupos é a seguinte: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Grupo</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Fase de Atribuição</w:t>
            </w:r>
          </w:p>
        </w:tc>
        <w:tc>
          <w:tcPr>
            <w:tcW w:type="dxa" w:w="442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Permissões Vinculadas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G-Teams-Geral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Fase 0</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Acesso aos canais Teams gerais e calendário corporativo.</w:t>
            </w:r>
          </w:p>
        </w:tc>
      </w:tr>
      <w:tr>
        <w:tc>
          <w:tcPr>
            <w:tcW w:type="dxa" w:w="24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G-Devs-Leitura</w:t>
            </w:r>
          </w:p>
        </w:tc>
        <w:tc>
          <w:tcPr>
            <w:tcW w:type="dxa" w:w="2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Fase 1</w:t>
            </w:r>
          </w:p>
        </w:tc>
        <w:tc>
          <w:tcPr>
            <w:tcW w:type="dxa" w:w="44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Read em repositórios GitHub designados, leitura no SharePoint de docs.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G-Devs-Contribuidores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Fase 2</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Write em repositórios designados, ambiente de dev/staging, canais de projeto.</w:t>
            </w:r>
          </w:p>
        </w:tc>
      </w:tr>
      <w:tr>
        <w:tc>
          <w:tcPr>
            <w:tcW w:type="dxa" w:w="24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G-Devs-Plenos</w:t>
            </w:r>
          </w:p>
        </w:tc>
        <w:tc>
          <w:tcPr>
            <w:tcW w:type="dxa" w:w="2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Fase 3</w:t>
            </w:r>
          </w:p>
        </w:tc>
        <w:tc>
          <w:tcPr>
            <w:tcW w:type="dxa" w:w="44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Acesso a produção com 2FA reforçado, secrets selecionados no Key Vault, capacidade de aprovar PRs.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G-Devs-Campo-Sinobras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Sob demanda</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Atribuído pontualmente para deslocamento ao cliente. Inclui acesso VPN específica.</w:t>
            </w:r>
          </w:p>
        </w:tc>
      </w:tr>
    </w:tbl>
    <w:p>
      <w:pPr>
        <w:spacing w:after="60" w:before="60"/>
      </w:pPr>
      <w:r>
        <w:t xml:space="preserve"/>
      </w:r>
    </w:p>
    <w:p>
      <w:pPr>
        <w:spacing w:after="80" w:before="80" w:line="300"/>
        <w:jc w:val="both"/>
      </w:pPr>
      <w:r>
        <w:rPr>
          <w:rFonts w:ascii="Calibri" w:cs="Calibri" w:eastAsia="Calibri" w:hAnsi="Calibri"/>
          <w:b w:val="false"/>
          <w:bCs w:val="false"/>
          <w:i w:val="false"/>
          <w:iCs w:val="false"/>
          <w:color w:val="1F2937"/>
          <w:sz w:val="22"/>
          <w:szCs w:val="22"/>
        </w:rPr>
        <w:t xml:space="preserve">A entrada e saída de cada grupo é registrada no log de auditoria do Entra ID e revisada trimestralmente pela Direção Técnica em rotina formal de acesso.</w:t>
      </w:r>
    </w:p>
    <w:p>
      <w:pPr>
        <w:pStyle w:val="Heading1"/>
        <w:spacing w:after="200" w:before="360"/>
      </w:pPr>
      <w:r>
        <w:rPr>
          <w:rFonts w:ascii="Calibri" w:cs="Calibri" w:eastAsia="Calibri" w:hAnsi="Calibri"/>
          <w:b/>
          <w:bCs/>
          <w:color w:val="1F4E79"/>
          <w:sz w:val="32"/>
          <w:szCs w:val="32"/>
        </w:rPr>
        <w:t xml:space="preserve">8. Offboarding — Saída de Desenvolvedores</w:t>
      </w:r>
    </w:p>
    <w:p>
      <w:pPr>
        <w:spacing w:after="80" w:before="80" w:line="300"/>
        <w:jc w:val="both"/>
      </w:pPr>
      <w:r>
        <w:rPr>
          <w:rFonts w:ascii="Calibri" w:cs="Calibri" w:eastAsia="Calibri" w:hAnsi="Calibri"/>
          <w:b w:val="false"/>
          <w:bCs w:val="false"/>
          <w:i w:val="false"/>
          <w:iCs w:val="false"/>
          <w:color w:val="1F2937"/>
          <w:sz w:val="22"/>
          <w:szCs w:val="22"/>
        </w:rPr>
        <w:t xml:space="preserve">O encerramento do vínculo de um desenvolvedor é tão crítico quanto a entrada. Falhas em offboarding representam o vetor de risco mais comum em vazamento de propriedade intelectual e exposição de credenciais. O processo abaixo é mandatório e deve ser concluído em até quatro horas após formalização do desligamento.</w:t>
      </w:r>
    </w:p>
    <w:p>
      <w:pPr>
        <w:pStyle w:val="Heading3"/>
        <w:spacing w:after="100" w:before="200"/>
      </w:pPr>
      <w:r>
        <w:rPr>
          <w:rFonts w:ascii="Calibri" w:cs="Calibri" w:eastAsia="Calibri" w:hAnsi="Calibri"/>
          <w:b/>
          <w:bCs/>
          <w:color w:val="1F2937"/>
          <w:sz w:val="23"/>
          <w:szCs w:val="23"/>
        </w:rPr>
        <w:t xml:space="preserve">8.1 Checklist Imediato (até 4 horas após desligamento)</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Remover usuário de todos os grupos do Entra ID — desativação preferível à exclusão para preservar logs.</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Revogar acesso ao GitHub: remover da organização IANorth-Tecnologia.</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Invalidar todas as sessões ativas (Microsoft 365 e GitHub) via console administrativo.</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Rotacionar todos os secrets a que o usuário teve acesso no Azure Key Vault.</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Bloquear cartão de acesso físico a escritórios e cliente, se aplicável.</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Encaminhar e-mail corporativo para responsável técnico designado durante 30 dias.</w:t>
      </w:r>
    </w:p>
    <w:p>
      <w:pPr>
        <w:pStyle w:val="Heading3"/>
        <w:spacing w:after="100" w:before="200"/>
      </w:pPr>
      <w:r>
        <w:rPr>
          <w:rFonts w:ascii="Calibri" w:cs="Calibri" w:eastAsia="Calibri" w:hAnsi="Calibri"/>
          <w:b/>
          <w:bCs/>
          <w:color w:val="1F2937"/>
          <w:sz w:val="23"/>
          <w:szCs w:val="23"/>
        </w:rPr>
        <w:t xml:space="preserve">8.2 Checklist Subsequente (até 5 dias úteis)</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Reuniao formal de devolução de equipamentos, com registro fotográfico do estado do dispositivo.</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Backup completo do diretório pessoal do colaborador no OneDrive corporativo.</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Confirmação por escrito da vigência das cláusulas de confidencialidade e não-concorrência pós-vínculo.</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Atualização do organograma técnico e redistribuição formal de responsabilidades.</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Remoção do usuário de listas de distribuição, do Planner e dos canais Teams privados.</w:t>
      </w:r>
    </w:p>
    <w:p>
      <w:pPr>
        <w:spacing w:after="40" w:before="40" w:line="280"/>
        <w:ind w:left="360"/>
      </w:pPr>
      <w:r>
        <w:rPr>
          <w:rFonts w:ascii="Calibri" w:cs="Calibri" w:eastAsia="Calibri" w:hAnsi="Calibri"/>
          <w:color w:val="1F4E79"/>
          <w:sz w:val="24"/>
          <w:szCs w:val="24"/>
        </w:rPr>
        <w:t xml:space="preserve">☐  </w:t>
      </w:r>
      <w:r>
        <w:rPr>
          <w:rFonts w:ascii="Calibri" w:cs="Calibri" w:eastAsia="Calibri" w:hAnsi="Calibri"/>
          <w:color w:val="1F2937"/>
          <w:sz w:val="22"/>
          <w:szCs w:val="22"/>
        </w:rPr>
        <w:t xml:space="preserve">Auditoria final dos commits, PRs e ações realizadas nos últimos 30 dias do vínculo.</w:t>
      </w:r>
    </w:p>
    <w:p>
      <w:pPr>
        <w:pStyle w:val="Heading3"/>
        <w:spacing w:after="100" w:before="200"/>
      </w:pPr>
      <w:r>
        <w:rPr>
          <w:rFonts w:ascii="Calibri" w:cs="Calibri" w:eastAsia="Calibri" w:hAnsi="Calibri"/>
          <w:b/>
          <w:bCs/>
          <w:color w:val="1F2937"/>
          <w:sz w:val="23"/>
          <w:szCs w:val="23"/>
        </w:rPr>
        <w:t xml:space="preserve">8.3 Período de Quarentena de Acesso</w:t>
      </w:r>
    </w:p>
    <w:p>
      <w:pPr>
        <w:spacing w:after="80" w:before="80" w:line="300"/>
        <w:jc w:val="both"/>
      </w:pPr>
      <w:r>
        <w:rPr>
          <w:rFonts w:ascii="Calibri" w:cs="Calibri" w:eastAsia="Calibri" w:hAnsi="Calibri"/>
          <w:b w:val="false"/>
          <w:bCs w:val="false"/>
          <w:i w:val="false"/>
          <w:iCs w:val="false"/>
          <w:color w:val="1F2937"/>
          <w:sz w:val="22"/>
          <w:szCs w:val="22"/>
        </w:rPr>
        <w:t xml:space="preserve">Por 90 dias após o desligamento, o registro do usuário permanece no Entra ID em estado desativado, com todos os acessos revogados, mas com logs preservados. Isto permite auditoria forense em caso de identificação tardia de incidentes. Após esse período, o usuário pode ser arquivado ou excluído conforme política de retenção de dados da empresa.</w:t>
      </w:r>
    </w:p>
    <w:p>
      <w:pPr>
        <w:pStyle w:val="Heading1"/>
        <w:spacing w:after="200" w:before="360"/>
      </w:pPr>
      <w:r>
        <w:rPr>
          <w:rFonts w:ascii="Calibri" w:cs="Calibri" w:eastAsia="Calibri" w:hAnsi="Calibri"/>
          <w:b/>
          <w:bCs/>
          <w:color w:val="1F4E79"/>
          <w:sz w:val="32"/>
          <w:szCs w:val="32"/>
        </w:rPr>
        <w:t xml:space="preserve">9. Matriz de Responsabilidades</w:t>
      </w:r>
    </w:p>
    <w:p>
      <w:pPr>
        <w:spacing w:after="80" w:before="80" w:line="300"/>
        <w:jc w:val="both"/>
      </w:pPr>
      <w:r>
        <w:rPr>
          <w:rFonts w:ascii="Calibri" w:cs="Calibri" w:eastAsia="Calibri" w:hAnsi="Calibri"/>
          <w:b w:val="false"/>
          <w:bCs w:val="false"/>
          <w:i w:val="false"/>
          <w:iCs w:val="false"/>
          <w:color w:val="1F2937"/>
          <w:sz w:val="22"/>
          <w:szCs w:val="22"/>
        </w:rPr>
        <w:t xml:space="preserve">Enquanto a IANorth não dispuser de uma área formal de RH ou TI dedicada, a Direção Técnica concentra a aplicação deste Playbook. À medida que a empresa crescer, as responsabilidades poderão ser distribuídas conforme a tabela abaixo: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Atividade</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Responsável Atual</w:t>
            </w:r>
          </w:p>
        </w:tc>
        <w:tc>
          <w:tcPr>
            <w:tcW w:type="dxa" w:w="282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Responsável Futuro</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Envio e validação de termos jurídicos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Jurídico / RH</w:t>
            </w:r>
          </w:p>
        </w:tc>
      </w:tr>
      <w:tr>
        <w:tc>
          <w:tcPr>
            <w:tcW w:type="dxa" w:w="35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Provisionamento Entra ID</w:t>
            </w:r>
          </w:p>
        </w:tc>
        <w:tc>
          <w:tcPr>
            <w:tcW w:type="dxa" w:w="27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c>
          <w:tcPr>
            <w:tcW w:type="dxa" w:w="28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TI Corporativa</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Concessão de acessos GitHub</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r>
      <w:tr>
        <w:tc>
          <w:tcPr>
            <w:tcW w:type="dxa" w:w="35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Mentoria e code review</w:t>
            </w:r>
          </w:p>
        </w:tc>
        <w:tc>
          <w:tcPr>
            <w:tcW w:type="dxa" w:w="27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c>
          <w:tcPr>
            <w:tcW w:type="dxa" w:w="28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Tech Leads designados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Auditoria trimestral de acessos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c>
          <w:tcPr>
            <w:tcW w:type="dxa" w:w="2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 + Compliance</w:t>
            </w:r>
          </w:p>
        </w:tc>
      </w:tr>
      <w:tr>
        <w:tc>
          <w:tcPr>
            <w:tcW w:type="dxa" w:w="35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Execução de offboarding</w:t>
            </w:r>
          </w:p>
        </w:tc>
        <w:tc>
          <w:tcPr>
            <w:tcW w:type="dxa" w:w="27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c>
          <w:tcPr>
            <w:tcW w:type="dxa" w:w="2826"/>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RH + TI</w:t>
            </w:r>
          </w:p>
        </w:tc>
      </w:tr>
    </w:tbl>
    <w:p>
      <w:pPr>
        <w:pStyle w:val="Heading1"/>
        <w:spacing w:after="200" w:before="360"/>
      </w:pPr>
      <w:r>
        <w:rPr>
          <w:rFonts w:ascii="Calibri" w:cs="Calibri" w:eastAsia="Calibri" w:hAnsi="Calibri"/>
          <w:b/>
          <w:bCs/>
          <w:color w:val="1F4E79"/>
          <w:sz w:val="32"/>
          <w:szCs w:val="32"/>
        </w:rPr>
        <w:t xml:space="preserve">10. Versionamento e Evolução deste Documento</w:t>
      </w:r>
    </w:p>
    <w:p>
      <w:pPr>
        <w:spacing w:after="80" w:before="80" w:line="300"/>
        <w:jc w:val="both"/>
      </w:pPr>
      <w:r>
        <w:rPr>
          <w:rFonts w:ascii="Calibri" w:cs="Calibri" w:eastAsia="Calibri" w:hAnsi="Calibri"/>
          <w:b w:val="false"/>
          <w:bCs w:val="false"/>
          <w:i w:val="false"/>
          <w:iCs w:val="false"/>
          <w:color w:val="1F2937"/>
          <w:sz w:val="22"/>
          <w:szCs w:val="22"/>
        </w:rPr>
        <w:t xml:space="preserve">Este Playbook é vivo. Sua aplicação prática deve gerar aprendizado contínuo, e revisões formais devem ocorrer a cada seis meses ou sempre que houver mudança relevante na stack ou na estrutura organizacional. Alterações são propostas via Pull Request no repositório de governança da IANorth e aprovadas pela Direção Técnica.</w:t>
      </w:r>
    </w:p>
    <w:p>
      <w:pPr>
        <w:pStyle w:val="Heading3"/>
        <w:spacing w:after="100" w:before="200"/>
      </w:pPr>
      <w:r>
        <w:rPr>
          <w:rFonts w:ascii="Calibri" w:cs="Calibri" w:eastAsia="Calibri" w:hAnsi="Calibri"/>
          <w:b/>
          <w:bCs/>
          <w:color w:val="1F2937"/>
          <w:sz w:val="23"/>
          <w:szCs w:val="23"/>
        </w:rPr>
        <w:t xml:space="preserve">Histórico de Versões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426"/>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Versão</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Data</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Autor</w:t>
            </w:r>
          </w:p>
        </w:tc>
        <w:tc>
          <w:tcPr>
            <w:tcW w:type="dxa" w:w="342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Calibri" w:cs="Calibri" w:eastAsia="Calibri" w:hAnsi="Calibri"/>
                <w:b/>
                <w:bCs/>
                <w:color w:val="FFFFFF"/>
                <w:sz w:val="21"/>
                <w:szCs w:val="21"/>
              </w:rPr>
              <w:t xml:space="preserve">Alterações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bCs/>
                <w:color w:val="1F2937"/>
                <w:sz w:val="21"/>
                <w:szCs w:val="21"/>
              </w:rPr>
              <w:t xml:space="preserve">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Abril/2026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Direção Técnica</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b w:val="false"/>
                <w:bCs w:val="false"/>
                <w:color w:val="1F2937"/>
                <w:sz w:val="21"/>
                <w:szCs w:val="21"/>
              </w:rPr>
              <w:t xml:space="preserve">Versão inicial. Migração da comunicação Discord → Microsoft Teams. Definição de fases e grupos.</w:t>
            </w:r>
          </w:p>
        </w:tc>
      </w:tr>
    </w:tbl>
    <w:p>
      <w:pPr>
        <w:spacing w:after="60" w:before="60"/>
      </w:pPr>
      <w:r>
        <w:t xml:space="preserve"/>
      </w:r>
    </w:p>
    <w:p>
      <w:pPr>
        <w:spacing w:after="60" w:before="60"/>
      </w:pPr>
      <w:r>
        <w:t xml:space="preserve"/>
      </w:r>
    </w:p>
    <w:p>
      <w:pPr>
        <w:pBdr>
          <w:bottom w:val="single" w:color="2E75B6" w:sz="6" w:space="1"/>
        </w:pBdr>
        <w:spacing w:after="120" w:before="120"/>
      </w:pPr>
      <w:r>
        <w:t xml:space="preserve"/>
      </w:r>
    </w:p>
    <w:p>
      <w:pPr>
        <w:spacing w:after="100" w:before="300"/>
        <w:jc w:val="center"/>
      </w:pPr>
      <w:r>
        <w:rPr>
          <w:rFonts w:ascii="Calibri" w:cs="Calibri" w:eastAsia="Calibri" w:hAnsi="Calibri"/>
          <w:b/>
          <w:bCs/>
          <w:color w:val="1F4E79"/>
          <w:sz w:val="22"/>
          <w:szCs w:val="22"/>
        </w:rPr>
        <w:t xml:space="preserve">IANorth Tecnologia</w:t>
      </w:r>
    </w:p>
    <w:p>
      <w:pPr>
        <w:spacing w:after="100" w:before="0"/>
        <w:jc w:val="center"/>
      </w:pPr>
      <w:r>
        <w:rPr>
          <w:rFonts w:ascii="Calibri" w:cs="Calibri" w:eastAsia="Calibri" w:hAnsi="Calibri"/>
          <w:i/>
          <w:iCs/>
          <w:color w:val="595959"/>
          <w:sz w:val="18"/>
          <w:szCs w:val="18"/>
        </w:rPr>
        <w:t xml:space="preserve">Documento complementar às Diretrizes de Engenharia e Governança Tecnológica</w:t>
      </w:r>
    </w:p>
    <w:p>
      <w:pPr>
        <w:spacing w:after="200" w:before="0"/>
        <w:jc w:val="center"/>
      </w:pPr>
      <w:r>
        <w:rPr>
          <w:rFonts w:ascii="Calibri" w:cs="Calibri" w:eastAsia="Calibri" w:hAnsi="Calibri"/>
          <w:color w:val="595959"/>
          <w:sz w:val="18"/>
          <w:szCs w:val="18"/>
        </w:rPr>
        <w:t xml:space="preserve">Confidencial — Uso Interno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Documento Interno  ·  Versão 1.0  ·  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Calibri" w:cs="Calibri" w:eastAsia="Calibri" w:hAnsi="Calibri"/>
        <w:color w:val="808080"/>
        <w:sz w:val="18"/>
        <w:szCs w:val="18"/>
      </w:rPr>
      <w:t xml:space="preserve">IANorth Tecnologia  </w:t>
    </w:r>
    <w:r>
      <w:rPr>
        <w:rFonts w:ascii="Calibri" w:cs="Calibri" w:eastAsia="Calibri" w:hAnsi="Calibri"/>
        <w:b/>
        <w:bCs/>
        <w:color w:val="1F4E79"/>
        <w:sz w:val="18"/>
        <w:szCs w:val="18"/>
      </w:rPr>
      <w:t xml:space="preserve">|  Playbook de Onboarding de Engenharia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Playbook de Onboarding de Engenharia</dc:title>
  <dc:creator>IANorth Tecnologia</dc:creator>
  <dc:description>Diretriz operacional para integração de novos desenvolvedores</dc:description>
  <cp:lastModifiedBy>Un-named</cp:lastModifiedBy>
  <cp:revision>1</cp:revision>
  <dcterms:created xsi:type="dcterms:W3CDTF">2026-04-26T22:44:33.193Z</dcterms:created>
  <dcterms:modified xsi:type="dcterms:W3CDTF">2026-04-26T22:44:33.194Z</dcterms:modified>
</cp:coreProperties>
</file>

<file path=docProps/custom.xml><?xml version="1.0" encoding="utf-8"?>
<Properties xmlns="http://schemas.openxmlformats.org/officeDocument/2006/custom-properties" xmlns:vt="http://schemas.openxmlformats.org/officeDocument/2006/docPropsVTypes"/>
</file>