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12D3AEBB" w:rsidR="000C4B37" w:rsidRPr="000B1127" w:rsidRDefault="00357249" w:rsidP="00F63C72">
      <w:r w:rsidRPr="000B1127">
        <w:t xml:space="preserve">Version </w:t>
      </w:r>
      <w:r w:rsidR="005E2A03">
        <w:t>07 Sep</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Added optional field rmsTime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Minor revisions to documentation for uncTime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Added shapeOcc, obsSubID and trkMPC elements.</w:t>
      </w:r>
    </w:p>
    <w:p w14:paraId="6C4251F6" w14:textId="0A61D3C4" w:rsidR="00FC372A" w:rsidRDefault="00FC372A" w:rsidP="00FC372A">
      <w:pPr>
        <w:pStyle w:val="ListParagraph"/>
        <w:numPr>
          <w:ilvl w:val="0"/>
          <w:numId w:val="47"/>
        </w:numPr>
      </w:pPr>
      <w:r>
        <w:t>obsID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Pr="005C2C9A" w:rsidRDefault="004515CD" w:rsidP="004515CD">
      <w:pPr>
        <w:pStyle w:val="ListParagraph"/>
        <w:numPr>
          <w:ilvl w:val="0"/>
          <w:numId w:val="48"/>
        </w:numPr>
        <w:rPr>
          <w:strike/>
        </w:rPr>
      </w:pPr>
      <w:r w:rsidRPr="005C2C9A">
        <w:rPr>
          <w:strike/>
        </w:rPr>
        <w:t>Incremented version to 2022a.</w:t>
      </w:r>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2F9EABFA"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5A1901">
        <w:rPr>
          <w:noProof/>
        </w:rPr>
        <w:t>4</w:t>
      </w:r>
      <w:r w:rsidR="008B64A7">
        <w:rPr>
          <w:noProof/>
        </w:rPr>
        <w:fldChar w:fldCharType="end"/>
      </w:r>
    </w:p>
    <w:p w14:paraId="5C9BA94F" w14:textId="1020A394"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5A1901">
        <w:rPr>
          <w:noProof/>
        </w:rPr>
        <w:t>5</w:t>
      </w:r>
      <w:r>
        <w:rPr>
          <w:noProof/>
        </w:rPr>
        <w:fldChar w:fldCharType="end"/>
      </w:r>
    </w:p>
    <w:p w14:paraId="5ABB32FC" w14:textId="06496FBB"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5A1901">
        <w:rPr>
          <w:noProof/>
        </w:rPr>
        <w:t>6</w:t>
      </w:r>
      <w:r>
        <w:rPr>
          <w:noProof/>
        </w:rPr>
        <w:fldChar w:fldCharType="end"/>
      </w:r>
    </w:p>
    <w:p w14:paraId="5A9FCDFA" w14:textId="7A387DFD"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5A1901">
        <w:rPr>
          <w:noProof/>
        </w:rPr>
        <w:t>7</w:t>
      </w:r>
      <w:r>
        <w:rPr>
          <w:noProof/>
        </w:rPr>
        <w:fldChar w:fldCharType="end"/>
      </w:r>
    </w:p>
    <w:p w14:paraId="3FADE742" w14:textId="7779A21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5A1901">
        <w:rPr>
          <w:noProof/>
        </w:rPr>
        <w:t>7</w:t>
      </w:r>
      <w:r>
        <w:rPr>
          <w:noProof/>
        </w:rPr>
        <w:fldChar w:fldCharType="end"/>
      </w:r>
    </w:p>
    <w:p w14:paraId="0D8D96FC" w14:textId="5AE832B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5A1901">
        <w:rPr>
          <w:noProof/>
        </w:rPr>
        <w:t>9</w:t>
      </w:r>
      <w:r>
        <w:rPr>
          <w:noProof/>
        </w:rPr>
        <w:fldChar w:fldCharType="end"/>
      </w:r>
    </w:p>
    <w:p w14:paraId="0BE60A61" w14:textId="74E91062"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5A1901">
        <w:rPr>
          <w:noProof/>
        </w:rPr>
        <w:t>10</w:t>
      </w:r>
      <w:r>
        <w:rPr>
          <w:noProof/>
        </w:rPr>
        <w:fldChar w:fldCharType="end"/>
      </w:r>
    </w:p>
    <w:p w14:paraId="1328F3FF" w14:textId="57F9E1EF"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5A1901">
        <w:rPr>
          <w:noProof/>
        </w:rPr>
        <w:t>12</w:t>
      </w:r>
      <w:r>
        <w:rPr>
          <w:noProof/>
        </w:rPr>
        <w:fldChar w:fldCharType="end"/>
      </w:r>
    </w:p>
    <w:p w14:paraId="25253F6D" w14:textId="258C31D5"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5A1901">
        <w:rPr>
          <w:noProof/>
        </w:rPr>
        <w:t>12</w:t>
      </w:r>
      <w:r>
        <w:rPr>
          <w:noProof/>
        </w:rPr>
        <w:fldChar w:fldCharType="end"/>
      </w:r>
    </w:p>
    <w:p w14:paraId="20FEFE82" w14:textId="2777BB4E"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5A1901">
        <w:rPr>
          <w:noProof/>
        </w:rPr>
        <w:t>13</w:t>
      </w:r>
      <w:r>
        <w:rPr>
          <w:noProof/>
        </w:rPr>
        <w:fldChar w:fldCharType="end"/>
      </w:r>
    </w:p>
    <w:p w14:paraId="717686C2" w14:textId="7C8DBBE8"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5A1901">
        <w:rPr>
          <w:noProof/>
        </w:rPr>
        <w:t>14</w:t>
      </w:r>
      <w:r>
        <w:rPr>
          <w:noProof/>
        </w:rPr>
        <w:fldChar w:fldCharType="end"/>
      </w:r>
    </w:p>
    <w:p w14:paraId="6B1CAFE5" w14:textId="05EB4D98"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5A1901">
        <w:rPr>
          <w:noProof/>
        </w:rPr>
        <w:t>14</w:t>
      </w:r>
      <w:r>
        <w:rPr>
          <w:noProof/>
        </w:rPr>
        <w:fldChar w:fldCharType="end"/>
      </w:r>
    </w:p>
    <w:p w14:paraId="4694C1ED" w14:textId="0B0FED3A"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5A1901">
        <w:rPr>
          <w:noProof/>
        </w:rPr>
        <w:t>15</w:t>
      </w:r>
      <w:r>
        <w:rPr>
          <w:noProof/>
        </w:rPr>
        <w:fldChar w:fldCharType="end"/>
      </w:r>
    </w:p>
    <w:p w14:paraId="53E083ED" w14:textId="665571B5"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5A1901">
        <w:rPr>
          <w:noProof/>
        </w:rPr>
        <w:t>17</w:t>
      </w:r>
      <w:r>
        <w:rPr>
          <w:noProof/>
        </w:rPr>
        <w:fldChar w:fldCharType="end"/>
      </w:r>
    </w:p>
    <w:p w14:paraId="67320B57" w14:textId="257AB76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5A1901">
        <w:rPr>
          <w:noProof/>
        </w:rPr>
        <w:t>18</w:t>
      </w:r>
      <w:r>
        <w:rPr>
          <w:noProof/>
        </w:rPr>
        <w:fldChar w:fldCharType="end"/>
      </w:r>
    </w:p>
    <w:p w14:paraId="05E9E632" w14:textId="093F74A5"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5A1901">
        <w:rPr>
          <w:noProof/>
        </w:rPr>
        <w:t>32</w:t>
      </w:r>
      <w:r>
        <w:rPr>
          <w:noProof/>
        </w:rPr>
        <w:fldChar w:fldCharType="end"/>
      </w:r>
    </w:p>
    <w:p w14:paraId="7930BA9E" w14:textId="2FAF6CA5"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5A1901">
        <w:rPr>
          <w:noProof/>
        </w:rPr>
        <w:t>33</w:t>
      </w:r>
      <w:r>
        <w:rPr>
          <w:noProof/>
        </w:rPr>
        <w:fldChar w:fldCharType="end"/>
      </w:r>
    </w:p>
    <w:p w14:paraId="5D7430EA" w14:textId="110FD4D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5A1901">
        <w:rPr>
          <w:noProof/>
        </w:rPr>
        <w:t>34</w:t>
      </w:r>
      <w:r>
        <w:rPr>
          <w:noProof/>
        </w:rPr>
        <w:fldChar w:fldCharType="end"/>
      </w:r>
    </w:p>
    <w:p w14:paraId="4D85620A" w14:textId="7462678A"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5A1901">
        <w:rPr>
          <w:noProof/>
        </w:rPr>
        <w:t>36</w:t>
      </w:r>
      <w:r>
        <w:rPr>
          <w:noProof/>
        </w:rPr>
        <w:fldChar w:fldCharType="end"/>
      </w:r>
    </w:p>
    <w:p w14:paraId="110EFC17" w14:textId="1F926A95"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5A1901">
        <w:rPr>
          <w:noProof/>
        </w:rPr>
        <w:t>36</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6B95DD8A"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5A1901">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0593F4B0"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5A1901">
          <w:t xml:space="preserve">Table </w:t>
        </w:r>
        <w:r w:rsidR="005A1901">
          <w:rPr>
            <w:noProof/>
          </w:rPr>
          <w:t>1</w:t>
        </w:r>
      </w:fldSimple>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2FC5D496" w:rsidR="00E440BC" w:rsidRPr="00476232" w:rsidRDefault="00E440BC" w:rsidP="00F63C72">
      <w:pPr>
        <w:pStyle w:val="Caption"/>
      </w:pPr>
      <w:bookmarkStart w:id="5" w:name="_Ref473211114"/>
      <w:r>
        <w:lastRenderedPageBreak/>
        <w:t xml:space="preserve">Table </w:t>
      </w:r>
      <w:fldSimple w:instr=" SEQ Table \* ARABIC ">
        <w:r w:rsidR="005A1901">
          <w:rPr>
            <w:noProof/>
          </w:rPr>
          <w:t>1</w:t>
        </w:r>
      </w:fldSimple>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53D5F1C5"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A1901">
              <w:t xml:space="preserve">Table </w:t>
            </w:r>
            <w:r w:rsidR="005A1901">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6A607F9C"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A1901">
              <w:t xml:space="preserve">Table </w:t>
            </w:r>
            <w:r w:rsidR="005A1901">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07092873"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A1901">
              <w:t xml:space="preserve">Table </w:t>
            </w:r>
            <w:r w:rsidR="005A1901">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783D2FE5"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A1901">
              <w:t xml:space="preserve">Table </w:t>
            </w:r>
            <w:r w:rsidR="005A1901">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3DA3BBBA"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A1901">
              <w:t xml:space="preserve">Table </w:t>
            </w:r>
            <w:r w:rsidR="005A1901">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6B7AA75E"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A1901">
              <w:t xml:space="preserve">Table </w:t>
            </w:r>
            <w:r w:rsidR="005A1901">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750E540C"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A1901">
              <w:t xml:space="preserve">Table </w:t>
            </w:r>
            <w:r w:rsidR="005A1901">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5A631F8E"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fldSimple w:instr=" REF _Ref473023927 ">
        <w:r w:rsidR="005A1901">
          <w:t xml:space="preserve">Table </w:t>
        </w:r>
        <w:r w:rsidR="005A1901">
          <w:rPr>
            <w:noProof/>
          </w:rPr>
          <w:t>2</w:t>
        </w:r>
      </w:fldSimple>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fldSimple w:instr=" REF _Ref473018694 ">
        <w:r w:rsidR="005A1901">
          <w:t xml:space="preserve">Table </w:t>
        </w:r>
        <w:r w:rsidR="005A1901">
          <w:rPr>
            <w:noProof/>
          </w:rPr>
          <w:t>12</w:t>
        </w:r>
      </w:fldSimple>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06037814" w:rsidR="008E7635" w:rsidRPr="00476232" w:rsidRDefault="008E7635" w:rsidP="008E7635">
      <w:pPr>
        <w:pStyle w:val="Caption"/>
      </w:pPr>
      <w:bookmarkStart w:id="6" w:name="_Ref473023927"/>
      <w:r>
        <w:t xml:space="preserve">Table </w:t>
      </w:r>
      <w:fldSimple w:instr=" SEQ Table \* ARABIC ">
        <w:r w:rsidR="005A1901">
          <w:rPr>
            <w:noProof/>
          </w:rPr>
          <w:t>2</w:t>
        </w:r>
      </w:fldSimple>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23E2DCF8"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A1901">
              <w:t xml:space="preserve">Table </w:t>
            </w:r>
            <w:r w:rsidR="005A1901">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221F50BF" w:rsidR="00B15913" w:rsidRDefault="008E7635" w:rsidP="00F63C72">
      <w:r>
        <w:t xml:space="preserve">We turn now to a description of the other elements that can appear in ades. In the next section (Sec. </w:t>
      </w:r>
      <w:fldSimple w:instr=" REF _Ref473301578 \w ">
        <w:r w:rsidR="005A1901">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5A1901">
          <w:t>4.3</w:t>
        </w:r>
      </w:fldSimple>
      <w:r w:rsidR="00C068B7">
        <w:t xml:space="preserve"> </w:t>
      </w:r>
      <w:r>
        <w:t xml:space="preserve">we describe </w:t>
      </w:r>
      <w:r w:rsidRPr="008652E8">
        <w:rPr>
          <w:rFonts w:ascii="Courier" w:hAnsi="Courier"/>
        </w:rPr>
        <w:t>obsContext</w:t>
      </w:r>
      <w:r>
        <w:t xml:space="preserve"> and</w:t>
      </w:r>
      <w:r w:rsidR="00C068B7">
        <w:t xml:space="preserve"> in Sec. </w:t>
      </w:r>
      <w:fldSimple w:instr=" REF _Ref474762100 \r ">
        <w:r w:rsidR="005A1901">
          <w:t>4.4</w:t>
        </w:r>
      </w:fldSimple>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fldSimple w:instr=" REF _Ref474762124 \r ">
        <w:r w:rsidR="005A1901">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2CEAA094"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5A1901">
          <w:t xml:space="preserve">Table </w:t>
        </w:r>
        <w:r w:rsidR="005A1901">
          <w:rPr>
            <w:noProof/>
          </w:rPr>
          <w:t>3</w:t>
        </w:r>
      </w:fldSimple>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5A1901">
          <w:t xml:space="preserve">Table </w:t>
        </w:r>
        <w:r w:rsidR="005A1901">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5A1901">
          <w:t xml:space="preserve">Table </w:t>
        </w:r>
        <w:r w:rsidR="005A1901">
          <w:rPr>
            <w:noProof/>
          </w:rPr>
          <w:t>3</w:t>
        </w:r>
      </w:fldSimple>
      <w:r w:rsidR="00001DC2">
        <w:t>.</w:t>
      </w:r>
    </w:p>
    <w:p w14:paraId="655B1825" w14:textId="77777777" w:rsidR="00696712" w:rsidRPr="002E56E5" w:rsidRDefault="00696712" w:rsidP="00F63C72"/>
    <w:p w14:paraId="4BE39818" w14:textId="4D860B66" w:rsidR="00E440BC" w:rsidRDefault="00E440BC" w:rsidP="00F63C72">
      <w:pPr>
        <w:pStyle w:val="Caption"/>
      </w:pPr>
      <w:bookmarkStart w:id="9" w:name="_Ref473215016"/>
      <w:r>
        <w:t xml:space="preserve">Table </w:t>
      </w:r>
      <w:fldSimple w:instr=" SEQ Table \* ARABIC ">
        <w:r w:rsidR="005A1901">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6E090E66"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5A1901">
          <w:t xml:space="preserve">Table </w:t>
        </w:r>
        <w:r w:rsidR="005A1901">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5A1901">
          <w:t xml:space="preserve">Table </w:t>
        </w:r>
        <w:r w:rsidR="005A1901">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4D3660ED" w:rsidR="00EB06EE" w:rsidRDefault="00EB06EE" w:rsidP="00EB06EE">
      <w:pPr>
        <w:pStyle w:val="Caption"/>
      </w:pPr>
      <w:bookmarkStart w:id="14" w:name="_Ref473729153"/>
      <w:r>
        <w:t xml:space="preserve">Table </w:t>
      </w:r>
      <w:fldSimple w:instr=" SEQ Table \* ARABIC ">
        <w:r w:rsidR="005A1901">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5F6527B0"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5A1901">
          <w:t xml:space="preserve">Table </w:t>
        </w:r>
        <w:r w:rsidR="005A1901">
          <w:rPr>
            <w:noProof/>
          </w:rPr>
          <w:t>4</w:t>
        </w:r>
      </w:fldSimple>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70ED2238" w:rsidR="00E252F4" w:rsidRDefault="00E252F4" w:rsidP="00E252F4">
      <w:pPr>
        <w:pStyle w:val="FootnoteText"/>
      </w:pPr>
      <w:r w:rsidRPr="000B1127">
        <w:lastRenderedPageBreak/>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fldSimple w:instr=" REF _Ref473799400 ">
        <w:r w:rsidR="005A1901">
          <w:t xml:space="preserve">Table </w:t>
        </w:r>
        <w:r w:rsidR="005A1901">
          <w:rPr>
            <w:noProof/>
          </w:rPr>
          <w:t>5</w:t>
        </w:r>
      </w:fldSimple>
      <w:r w:rsidR="00EB70A3">
        <w:t>.</w:t>
      </w:r>
    </w:p>
    <w:p w14:paraId="001A1E67" w14:textId="77777777" w:rsidR="00E252F4" w:rsidRPr="000B1127" w:rsidRDefault="00E252F4" w:rsidP="00E252F4">
      <w:pPr>
        <w:pStyle w:val="FootnoteText"/>
      </w:pPr>
    </w:p>
    <w:p w14:paraId="221A4117" w14:textId="0D3B753E" w:rsidR="0019093E" w:rsidRDefault="0019093E" w:rsidP="0019093E">
      <w:pPr>
        <w:pStyle w:val="Caption"/>
        <w:keepNext/>
      </w:pPr>
      <w:bookmarkStart w:id="15" w:name="_Ref473799400"/>
      <w:r>
        <w:t xml:space="preserve">Table </w:t>
      </w:r>
      <w:fldSimple w:instr=" SEQ Table \* ARABIC ">
        <w:r w:rsidR="005A1901">
          <w:rPr>
            <w:noProof/>
          </w:rPr>
          <w:t>5</w:t>
        </w:r>
      </w:fldSimple>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lastRenderedPageBreak/>
        <w:t>Location Group</w:t>
      </w:r>
      <w:bookmarkEnd w:id="16"/>
    </w:p>
    <w:p w14:paraId="77656352" w14:textId="77777777" w:rsidR="00E252F4" w:rsidRPr="00E252F4" w:rsidRDefault="00E252F4" w:rsidP="00E252F4"/>
    <w:p w14:paraId="2390B570" w14:textId="7BB3AF7C" w:rsidR="00EB06EE" w:rsidRPr="002E56E5" w:rsidRDefault="00EB06EE" w:rsidP="00EB06EE">
      <w:r w:rsidRPr="002E56E5">
        <w:t xml:space="preserve">The </w:t>
      </w:r>
      <w:r w:rsidRPr="00D97588">
        <w:rPr>
          <w:i/>
        </w:rPr>
        <w:t>Location Group</w:t>
      </w:r>
      <w:r w:rsidRPr="002E56E5">
        <w:t xml:space="preserve"> (</w:t>
      </w:r>
      <w:fldSimple w:instr=" REF _Ref473729234 ">
        <w:r w:rsidR="005A1901">
          <w:t xml:space="preserve">Table </w:t>
        </w:r>
        <w:r w:rsidR="005A1901">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xml:space="preserve">). These are primarily the so-called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5586AF97" w:rsidR="00EB06EE" w:rsidRDefault="00EB06EE" w:rsidP="00EB06EE">
      <w:pPr>
        <w:pStyle w:val="Caption"/>
      </w:pPr>
      <w:bookmarkStart w:id="17" w:name="_Ref473729234"/>
      <w:r>
        <w:t xml:space="preserve">Table </w:t>
      </w:r>
      <w:fldSimple w:instr=" SEQ Table \* ARABIC ">
        <w:r w:rsidR="005A1901">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2F153BBA"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5A1901">
          <w:t xml:space="preserve">Table </w:t>
        </w:r>
        <w:r w:rsidR="005A1901">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E820F7" w14:textId="692AEFD4" w:rsidR="00C068B7" w:rsidRDefault="00C068B7">
      <w:pPr>
        <w:jc w:val="left"/>
      </w:pPr>
      <w:r>
        <w:br w:type="page"/>
      </w:r>
    </w:p>
    <w:p w14:paraId="174EE853" w14:textId="3E78DD50" w:rsidR="00E440BC" w:rsidRDefault="00E440BC" w:rsidP="00F63C72">
      <w:pPr>
        <w:pStyle w:val="Caption"/>
      </w:pPr>
      <w:bookmarkStart w:id="19" w:name="_Ref473799965"/>
      <w:r>
        <w:lastRenderedPageBreak/>
        <w:t xml:space="preserve">Table </w:t>
      </w:r>
      <w:fldSimple w:instr=" SEQ Table \* ARABIC ">
        <w:r w:rsidR="005A1901">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20" w:name="_Toc519264559"/>
      <w:r>
        <w:t>Photometry Group</w:t>
      </w:r>
      <w:bookmarkEnd w:id="20"/>
    </w:p>
    <w:p w14:paraId="194AE976" w14:textId="77777777" w:rsidR="00E252F4" w:rsidRDefault="00E252F4" w:rsidP="002B56C3"/>
    <w:p w14:paraId="6853D232" w14:textId="61E3456C" w:rsidR="002B56C3" w:rsidRDefault="002B56C3" w:rsidP="002B56C3">
      <w:r>
        <w:t xml:space="preserve">Photometric observations are a part of the optional Photometry Group, as depicted in </w:t>
      </w:r>
      <w:fldSimple w:instr=" REF _Ref473290189 ">
        <w:r w:rsidR="005A1901">
          <w:t xml:space="preserve">Table </w:t>
        </w:r>
        <w:r w:rsidR="005A1901">
          <w:rPr>
            <w:noProof/>
          </w:rPr>
          <w:t>8</w:t>
        </w:r>
      </w:fldSimple>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3D8B1D0B" w:rsidR="00E440BC" w:rsidRDefault="00E440BC" w:rsidP="00F63C72">
      <w:pPr>
        <w:pStyle w:val="Caption"/>
      </w:pPr>
      <w:bookmarkStart w:id="21" w:name="_Ref473290189"/>
      <w:r>
        <w:t xml:space="preserve">Table </w:t>
      </w:r>
      <w:fldSimple w:instr=" SEQ Table \* ARABIC ">
        <w:r w:rsidR="005A1901">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538AE70C" w14:textId="7E156062" w:rsidR="002B56C3" w:rsidRPr="00597E2F" w:rsidRDefault="002B56C3" w:rsidP="00597E2F">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fldSimple w:instr=" REF _Ref473290448 ">
        <w:r w:rsidR="005A1901">
          <w:t xml:space="preserve">Table </w:t>
        </w:r>
        <w:r w:rsidR="005A1901">
          <w:rPr>
            <w:noProof/>
          </w:rPr>
          <w:t>9</w:t>
        </w:r>
      </w:fldSimple>
      <w:r>
        <w:t xml:space="preserve">, where one can see that, though the entire group is optional (but not allowed in MPC submissions), if any precision information is </w:t>
      </w:r>
      <w:r w:rsidR="00597E2F">
        <w:t>present</w:t>
      </w:r>
      <w:r>
        <w:t xml:space="preserve"> then all three elements in the group must be </w:t>
      </w:r>
      <w:r w:rsidR="00597E2F">
        <w:t>present</w:t>
      </w:r>
      <w:r>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15E2F74D" w:rsidR="00E440BC" w:rsidRDefault="00E440BC" w:rsidP="00F63C72">
      <w:pPr>
        <w:pStyle w:val="Caption"/>
      </w:pPr>
      <w:r>
        <w:t xml:space="preserve">Table </w:t>
      </w:r>
      <w:fldSimple w:instr=" SEQ Table \* ARABIC ">
        <w:r w:rsidR="005A1901">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245E61C8" w:rsidR="00513E2B" w:rsidRDefault="00000000" w:rsidP="00F63C72">
      <w:fldSimple w:instr=" REF _Ref473215016 ">
        <w:r w:rsidR="005A1901">
          <w:t xml:space="preserve">Table </w:t>
        </w:r>
        <w:r w:rsidR="005A1901">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5A1901">
          <w:t xml:space="preserve">Table </w:t>
        </w:r>
        <w:r w:rsidR="005A1901">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5A1901">
          <w:t xml:space="preserve">Table </w:t>
        </w:r>
        <w:r w:rsidR="005A1901">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7CA17430" w:rsidR="00E440BC" w:rsidRDefault="00E440BC" w:rsidP="00F63C72">
      <w:pPr>
        <w:pStyle w:val="Caption"/>
      </w:pPr>
      <w:bookmarkStart w:id="26" w:name="_Ref473023800"/>
      <w:r>
        <w:lastRenderedPageBreak/>
        <w:t xml:space="preserve">Table </w:t>
      </w:r>
      <w:fldSimple w:instr=" SEQ Table \* ARABIC ">
        <w:r w:rsidR="005A1901">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29521130" w:rsidR="00E440BC" w:rsidRDefault="00E440BC" w:rsidP="00F63C72">
      <w:pPr>
        <w:pStyle w:val="Caption"/>
      </w:pPr>
      <w:bookmarkStart w:id="27" w:name="_Ref473023649"/>
      <w:r>
        <w:t xml:space="preserve">Table </w:t>
      </w:r>
      <w:fldSimple w:instr=" SEQ Table \* ARABIC ">
        <w:r w:rsidR="005A1901">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0D4EEE7B"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fldSimple w:instr=" REF _Ref473018694 ">
        <w:r w:rsidR="005A1901">
          <w:t xml:space="preserve">Table </w:t>
        </w:r>
        <w:r w:rsidR="005A1901">
          <w:rPr>
            <w:noProof/>
          </w:rPr>
          <w:t>12</w:t>
        </w:r>
      </w:fldSimple>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fldSimple w:instr=" REF _Ref473018694 ">
        <w:r w:rsidR="005A1901">
          <w:t xml:space="preserve">Table </w:t>
        </w:r>
        <w:r w:rsidR="005A1901">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fldSimple w:instr=" REF _Ref473751934 \r ">
        <w:r w:rsidR="005A1901">
          <w:t>4.6</w:t>
        </w:r>
      </w:fldSimple>
      <w:r w:rsidR="009721A8">
        <w:t>.</w:t>
      </w:r>
    </w:p>
    <w:p w14:paraId="656245C6" w14:textId="77777777" w:rsidR="000B6192" w:rsidRDefault="000B6192" w:rsidP="00F63C72"/>
    <w:p w14:paraId="2D3EE637" w14:textId="5E99C64E" w:rsidR="00E440BC" w:rsidRPr="00476232" w:rsidRDefault="00E440BC" w:rsidP="00F63C72">
      <w:pPr>
        <w:pStyle w:val="Caption"/>
      </w:pPr>
      <w:bookmarkStart w:id="30" w:name="_Ref473018694"/>
      <w:r>
        <w:t xml:space="preserve">Table </w:t>
      </w:r>
      <w:fldSimple w:instr=" SEQ Table \* ARABIC ">
        <w:r w:rsidR="005A1901">
          <w:rPr>
            <w:noProof/>
          </w:rPr>
          <w:t>12</w:t>
        </w:r>
      </w:fldSimple>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1631BA3E"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fldSimple w:instr=" REF _Ref474407666 ">
        <w:r w:rsidR="005A1901">
          <w:t xml:space="preserve">Table </w:t>
        </w:r>
        <w:r w:rsidR="005A1901">
          <w:rPr>
            <w:noProof/>
          </w:rPr>
          <w:t>13</w:t>
        </w:r>
      </w:fldSimple>
      <w:r>
        <w:t xml:space="preserve">) and </w:t>
      </w:r>
      <w:r w:rsidRPr="0052285D">
        <w:rPr>
          <w:rFonts w:ascii="Courier" w:hAnsi="Courier"/>
        </w:rPr>
        <w:t>radarResidual</w:t>
      </w:r>
      <w:r>
        <w:t xml:space="preserve"> (</w:t>
      </w:r>
      <w:fldSimple w:instr=" REF _Ref474407674 ">
        <w:r w:rsidR="005A1901">
          <w:t xml:space="preserve">Table </w:t>
        </w:r>
        <w:r w:rsidR="005A1901">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5A1901">
          <w:t>4.2.6</w:t>
        </w:r>
      </w:fldSimple>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fldSimple w:instr=" REF _Ref474247915 \r ">
        <w:r w:rsidR="005A1901">
          <w:t>4.2.1</w:t>
        </w:r>
      </w:fldSimple>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5A1901">
          <w:t xml:space="preserve">Table </w:t>
        </w:r>
        <w:r w:rsidR="005A1901">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5A1901">
          <w:t xml:space="preserve">Table </w:t>
        </w:r>
        <w:r w:rsidR="005A1901">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01EB12AF" w:rsidR="008623B0" w:rsidRDefault="008623B0" w:rsidP="008623B0">
      <w:pPr>
        <w:pStyle w:val="Caption"/>
        <w:keepNext/>
      </w:pPr>
      <w:bookmarkStart w:id="34" w:name="_Ref474407666"/>
      <w:r>
        <w:t xml:space="preserve">Table </w:t>
      </w:r>
      <w:fldSimple w:instr=" SEQ Table \* ARABIC ">
        <w:r w:rsidR="005A1901">
          <w:rPr>
            <w:noProof/>
          </w:rPr>
          <w:t>13</w:t>
        </w:r>
      </w:fldSimple>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3B31907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A1901">
              <w:t xml:space="preserve">Table </w:t>
            </w:r>
            <w:r w:rsidR="005A1901">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18BE6A02"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A1901">
              <w:t xml:space="preserve">Table </w:t>
            </w:r>
            <w:r w:rsidR="005A1901">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7CE4007E" w:rsidR="008623B0" w:rsidRDefault="008623B0" w:rsidP="008623B0">
      <w:pPr>
        <w:pStyle w:val="Caption"/>
        <w:keepNext/>
      </w:pPr>
      <w:bookmarkStart w:id="35" w:name="_Ref474407674"/>
      <w:r>
        <w:t xml:space="preserve">Table </w:t>
      </w:r>
      <w:fldSimple w:instr=" SEQ Table \* ARABIC ">
        <w:r w:rsidR="005A1901">
          <w:rPr>
            <w:noProof/>
          </w:rPr>
          <w:t>14</w:t>
        </w:r>
      </w:fldSimple>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2AE4D46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A1901">
              <w:t xml:space="preserve">Table </w:t>
            </w:r>
            <w:r w:rsidR="005A1901">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51D0DA97"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A1901">
              <w:t xml:space="preserve">Table </w:t>
            </w:r>
            <w:r w:rsidR="005A1901">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180410D4" w14:textId="014371D6" w:rsidR="003C2156" w:rsidRPr="008D360C" w:rsidRDefault="00F931E0" w:rsidP="008D360C">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5A1901" w:rsidRPr="00170F77">
          <w:t xml:space="preserve">Table </w:t>
        </w:r>
        <w:r w:rsidR="005A1901">
          <w:rPr>
            <w:noProof/>
          </w:rPr>
          <w:t>16</w:t>
        </w:r>
      </w:fldSimple>
      <w:r w:rsidR="009A5B40">
        <w:t>)</w:t>
      </w:r>
      <w:r w:rsidR="003C2156">
        <w:t xml:space="preserve">, part of the </w:t>
      </w:r>
      <w:r w:rsidR="00A96EC1">
        <w:t>residuals information (</w:t>
      </w:r>
      <w:fldSimple w:instr=" REF _Ref474762991 ">
        <w:r w:rsidR="005A1901">
          <w:t xml:space="preserve">Table </w:t>
        </w:r>
        <w:r w:rsidR="005A1901">
          <w:rPr>
            <w:noProof/>
          </w:rPr>
          <w:t>17</w:t>
        </w:r>
      </w:fldSimple>
      <w:r w:rsidR="00A96EC1">
        <w:t>)</w:t>
      </w:r>
      <w:r w:rsidR="003C2156">
        <w:t xml:space="preserve"> or part of the</w:t>
      </w:r>
      <w:r w:rsidR="00A96EC1">
        <w:t xml:space="preserve"> observation context (</w:t>
      </w:r>
      <w:fldSimple w:instr=" REF _Ref473211605 ">
        <w:r w:rsidR="005A1901">
          <w:t xml:space="preserve">Table </w:t>
        </w:r>
        <w:r w:rsidR="005A1901">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3F440690"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5A1901">
          <w:t xml:space="preserve">Figure </w:t>
        </w:r>
        <w:r w:rsidR="005A1901">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40F4C32E" w:rsidR="00285243" w:rsidRDefault="00285243" w:rsidP="00285243">
      <w:pPr>
        <w:pStyle w:val="Caption"/>
      </w:pPr>
      <w:bookmarkStart w:id="38" w:name="_Ref474847522"/>
      <w:r>
        <w:t xml:space="preserve">Figure </w:t>
      </w:r>
      <w:fldSimple w:instr=" SEQ Figure \* ARABIC ">
        <w:r w:rsidR="005A1901">
          <w:rPr>
            <w:noProof/>
          </w:rPr>
          <w:t>1</w:t>
        </w:r>
      </w:fldSimple>
      <w:bookmarkEnd w:id="38"/>
      <w:r>
        <w:t>. Suggested numerical precision in ADES observations for RA-DEC astrometry (left) and photometry (right) as a function of the measurement uncertainty.</w:t>
      </w:r>
    </w:p>
    <w:p w14:paraId="3D8C396A" w14:textId="6A2ADB37" w:rsidR="009050EF" w:rsidRDefault="009050EF" w:rsidP="00F63C72">
      <w:r>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5A1901">
        <w:t xml:space="preserve">Table </w:t>
      </w:r>
      <w:r w:rsidR="005A1901">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r w:rsidR="00556EDF" w:rsidRPr="00556EDF">
        <w:rPr>
          <w:rFonts w:ascii="Courier" w:hAnsi="Courier"/>
        </w:rPr>
        <w:t>printf</w:t>
      </w:r>
      <w:r>
        <w:t xml:space="preserve"> styles as an aid to standardization.</w:t>
      </w:r>
    </w:p>
    <w:p w14:paraId="3F2482F7" w14:textId="77777777" w:rsidR="009050EF" w:rsidRDefault="009050EF" w:rsidP="00F63C72"/>
    <w:p w14:paraId="531F9F17" w14:textId="667524DC" w:rsidR="009050EF" w:rsidRDefault="009050EF" w:rsidP="009050EF">
      <w:pPr>
        <w:pStyle w:val="Caption"/>
        <w:keepNext/>
      </w:pPr>
      <w:bookmarkStart w:id="39" w:name="_Ref477164826"/>
      <w:r>
        <w:t xml:space="preserve">Table </w:t>
      </w:r>
      <w:fldSimple w:instr=" SEQ Table \* ARABIC ">
        <w:r w:rsidR="005A1901">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blank, </w:t>
      </w:r>
      <w:r>
        <w:t xml:space="preserve"> and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lastRenderedPageBreak/>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3BF4782A"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5A1901">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5A1901">
          <w:t>4.2</w:t>
        </w:r>
      </w:fldSimple>
      <w:r w:rsidR="007448F6">
        <w:t xml:space="preserve">  and </w:t>
      </w:r>
      <w:fldSimple w:instr=" REF _Ref473215016 ">
        <w:r w:rsidR="005A1901">
          <w:t xml:space="preserve">Table </w:t>
        </w:r>
        <w:r w:rsidR="005A1901">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601B991B"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A19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31C2C813"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A1901">
              <w:t xml:space="preserve">Table </w:t>
            </w:r>
            <w:r w:rsidR="005A1901">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58C98042"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A19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41CE5F16"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A1901">
              <w:t xml:space="preserve">Table </w:t>
            </w:r>
            <w:r w:rsidR="005A1901">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3AC586CE"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A19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858E99A"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r>
              <w:rPr>
                <w:rFonts w:ascii="Courier" w:hAnsi="Courier"/>
                <w:sz w:val="22"/>
                <w:szCs w:val="22"/>
              </w:rPr>
              <w:lastRenderedPageBreak/>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As a special case, poorly understood systematic errors should be reported in </w:t>
            </w:r>
            <w:r w:rsidR="00B948FE" w:rsidRPr="00B948FE">
              <w:rPr>
                <w:rFonts w:ascii="Courier" w:hAnsi="Courier"/>
                <w:sz w:val="22"/>
                <w:szCs w:val="22"/>
              </w:rPr>
              <w:t>uncTime</w:t>
            </w:r>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6C001810"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No more than 8 digits after the decimal, which implies a maximum field with of 12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58BC3489"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lastRenderedPageBreak/>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allow  the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t>uncTime</w:t>
            </w:r>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6674F4" w14:textId="77777777" w:rsidR="005A1901"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5A1901">
              <w:br w:type="page"/>
            </w:r>
          </w:p>
          <w:p w14:paraId="7AD981EC" w14:textId="365A609D" w:rsidR="000D7E9F" w:rsidRPr="00BA69B0" w:rsidRDefault="005A1901"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704975CD" w:rsidR="00A96EC1" w:rsidRDefault="00A96EC1" w:rsidP="00A96EC1">
      <w:pPr>
        <w:pStyle w:val="Caption"/>
      </w:pPr>
      <w:r>
        <w:lastRenderedPageBreak/>
        <w:t xml:space="preserve">Table </w:t>
      </w:r>
      <w:fldSimple w:instr=" SEQ Table \* ARABIC ">
        <w:r w:rsidR="005A1901">
          <w:rPr>
            <w:noProof/>
          </w:rPr>
          <w:t>17</w:t>
        </w:r>
      </w:fldSimple>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6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48E7455B" w:rsidR="00A96EC1" w:rsidRPr="00E37658" w:rsidRDefault="00A96EC1" w:rsidP="008B04E5">
            <w:pPr>
              <w:jc w:val="left"/>
              <w:rPr>
                <w:sz w:val="22"/>
                <w:szCs w:val="22"/>
              </w:rPr>
            </w:pPr>
            <w:r w:rsidRPr="00E37658">
              <w:rPr>
                <w:sz w:val="22"/>
                <w:szCs w:val="22"/>
              </w:rPr>
              <w:t>Decimal number between -1 and 1, inclusive.</w:t>
            </w:r>
            <w:r w:rsidR="008D2BDB">
              <w:rPr>
                <w:sz w:val="22"/>
                <w:szCs w:val="22"/>
              </w:rPr>
              <w:t xml:space="preserve"> Maximum width 13 characters plus optional sign.</w:t>
            </w:r>
            <w:r w:rsidRPr="00E37658">
              <w:rPr>
                <w:sz w:val="22"/>
                <w:szCs w:val="22"/>
              </w:rPr>
              <w:t xml:space="preser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1107BAB9" w:rsidR="005564F1" w:rsidRDefault="005564F1" w:rsidP="00F63C72">
      <w:pPr>
        <w:pStyle w:val="Caption"/>
      </w:pPr>
      <w:bookmarkStart w:id="43" w:name="_Ref473211605"/>
      <w:bookmarkEnd w:id="41"/>
      <w:r>
        <w:lastRenderedPageBreak/>
        <w:t xml:space="preserve">Table </w:t>
      </w:r>
      <w:fldSimple w:instr=" SEQ Table \* ARABIC ">
        <w:r w:rsidR="005A1901">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186F6A5C"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5A1901">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69CF5C68"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5A1901">
        <w:t xml:space="preserve">Table </w:t>
      </w:r>
      <w:r w:rsidR="005A1901">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57E1F483" w:rsidR="009E2F61" w:rsidRDefault="009E2F61" w:rsidP="009E2F61">
      <w:pPr>
        <w:pStyle w:val="ListParagraph"/>
        <w:numPr>
          <w:ilvl w:val="0"/>
          <w:numId w:val="37"/>
        </w:numPr>
      </w:pPr>
      <w:r>
        <w:t>The Identification Group elements (</w:t>
      </w:r>
      <w:fldSimple w:instr=" REF _Ref473729153 ">
        <w:r w:rsidR="005A1901">
          <w:t xml:space="preserve">Table </w:t>
        </w:r>
        <w:r w:rsidR="005A1901">
          <w:rPr>
            <w:noProof/>
          </w:rPr>
          <w:t>4</w:t>
        </w:r>
      </w:fldSimple>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26899F38"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5A1901">
          <w:t xml:space="preserve">Table </w:t>
        </w:r>
        <w:r w:rsidR="005A1901">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fldSimple w:instr=" REF _Ref474910346 ">
        <w:r w:rsidR="005A1901">
          <w:t xml:space="preserve">Table </w:t>
        </w:r>
        <w:r w:rsidR="005A1901">
          <w:rPr>
            <w:noProof/>
          </w:rPr>
          <w:t>19</w:t>
        </w:r>
      </w:fldSimple>
      <w:r w:rsidR="00A73DAC">
        <w:t xml:space="preserve"> are wider than the data in order to accomodate the width of the field name. </w:t>
      </w:r>
      <w:r w:rsidR="003A5BE7" w:rsidRPr="000B1127">
        <w:t xml:space="preserve">Any fields present in the record but not listed in </w:t>
      </w:r>
      <w:fldSimple w:instr=" REF _Ref474910346 ">
        <w:r w:rsidR="005A1901">
          <w:t xml:space="preserve">Table </w:t>
        </w:r>
        <w:r w:rsidR="005A1901">
          <w:rPr>
            <w:noProof/>
          </w:rPr>
          <w:t>19</w:t>
        </w:r>
      </w:fldSimple>
      <w:r w:rsidR="00DF188C">
        <w:rPr>
          <w:noProof/>
        </w:rPr>
        <w:t xml:space="preserve"> </w:t>
      </w:r>
      <w:r w:rsidR="003A5BE7" w:rsidRPr="000B1127">
        <w:t xml:space="preserve">will be placed in </w:t>
      </w:r>
      <w:fldSimple w:instr=" REF _Ref473059785 ">
        <w:r w:rsidR="005A1901" w:rsidRPr="00170F77">
          <w:t xml:space="preserve">Table </w:t>
        </w:r>
        <w:r w:rsidR="005A1901">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5DB5720E" w:rsidR="006B7C87" w:rsidRDefault="006B7C87" w:rsidP="006B7C87">
      <w:pPr>
        <w:pStyle w:val="Caption"/>
        <w:keepNext/>
      </w:pPr>
      <w:bookmarkStart w:id="51" w:name="_Ref474910346"/>
      <w:r>
        <w:t xml:space="preserve">Table </w:t>
      </w:r>
      <w:fldSimple w:instr=" SEQ Table \* ARABIC ">
        <w:r w:rsidR="005A1901">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7D13CA89"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5A1901">
          <w:t xml:space="preserve">Table </w:t>
        </w:r>
        <w:r w:rsidR="005A1901">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A1901">
        <w:t xml:space="preserve">Table </w:t>
      </w:r>
      <w:r w:rsidR="005A1901">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5A1901">
          <w:t xml:space="preserve">Table </w:t>
        </w:r>
        <w:r w:rsidR="005A1901">
          <w:rPr>
            <w:noProof/>
          </w:rPr>
          <w:t>19</w:t>
        </w:r>
      </w:fldSimple>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5A1901">
          <w:t xml:space="preserve">Table </w:t>
        </w:r>
        <w:r w:rsidR="005A1901">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5A1901">
          <w:t xml:space="preserve">Table </w:t>
        </w:r>
        <w:r w:rsidR="005A1901">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991D" w14:textId="77777777" w:rsidR="004769D1" w:rsidRDefault="004769D1" w:rsidP="00F63C72">
      <w:r>
        <w:separator/>
      </w:r>
    </w:p>
  </w:endnote>
  <w:endnote w:type="continuationSeparator" w:id="0">
    <w:p w14:paraId="69E811A6" w14:textId="77777777" w:rsidR="004769D1" w:rsidRDefault="004769D1"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8F9B" w14:textId="77777777" w:rsidR="004769D1" w:rsidRDefault="004769D1" w:rsidP="00F63C72">
      <w:r>
        <w:separator/>
      </w:r>
    </w:p>
  </w:footnote>
  <w:footnote w:type="continuationSeparator" w:id="0">
    <w:p w14:paraId="39F133D6" w14:textId="77777777" w:rsidR="004769D1" w:rsidRDefault="004769D1"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7E2F"/>
    <w:rsid w:val="005A146D"/>
    <w:rsid w:val="005A1901"/>
    <w:rsid w:val="005A2880"/>
    <w:rsid w:val="005A4BE9"/>
    <w:rsid w:val="005A74CE"/>
    <w:rsid w:val="005B2D7B"/>
    <w:rsid w:val="005B4A1E"/>
    <w:rsid w:val="005B5042"/>
    <w:rsid w:val="005B5B07"/>
    <w:rsid w:val="005C2C9A"/>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10028</Words>
  <Characters>57165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4</cp:revision>
  <cp:lastPrinted>2022-10-12T23:13:00Z</cp:lastPrinted>
  <dcterms:created xsi:type="dcterms:W3CDTF">2022-10-12T23:13:00Z</dcterms:created>
  <dcterms:modified xsi:type="dcterms:W3CDTF">2023-03-03T00:42:00Z</dcterms:modified>
</cp:coreProperties>
</file>