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5B46" w14:textId="77777777" w:rsidR="00746D34" w:rsidRDefault="00746D34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</w:t>
      </w:r>
      <w:r w:rsidR="00A14362">
        <w:rPr>
          <w:rFonts w:eastAsia="Times New Roman" w:cs="Times New Roman"/>
          <w:szCs w:val="28"/>
        </w:rPr>
        <w:t>инистерство образования и молодежной политики</w:t>
      </w:r>
    </w:p>
    <w:p w14:paraId="74E88C2F" w14:textId="46B973C0" w:rsidR="00746D34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Свердловской области</w:t>
      </w:r>
    </w:p>
    <w:p w14:paraId="52B38DFB" w14:textId="018C0D58" w:rsidR="00A14362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746D34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2C042D6D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AD47AA">
        <w:rPr>
          <w:rFonts w:eastAsia="Times New Roman" w:cs="Times New Roman"/>
          <w:b/>
          <w:bCs/>
          <w:sz w:val="36"/>
          <w:szCs w:val="36"/>
          <w:lang w:eastAsia="ru-RU"/>
        </w:rPr>
        <w:t>6</w:t>
      </w:r>
      <w:r w:rsidR="00FE59F0">
        <w:rPr>
          <w:rFonts w:eastAsia="Times New Roman" w:cs="Times New Roman"/>
          <w:b/>
          <w:bCs/>
          <w:sz w:val="36"/>
          <w:szCs w:val="36"/>
          <w:lang w:eastAsia="ru-RU"/>
        </w:rPr>
        <w:t>4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0B79204A" w14:textId="77777777" w:rsidR="00FE59F0" w:rsidRDefault="00FE59F0" w:rsidP="00FE59F0">
      <w:pPr>
        <w:tabs>
          <w:tab w:val="left" w:pos="3761"/>
          <w:tab w:val="center" w:pos="4677"/>
        </w:tabs>
        <w:ind w:firstLine="0"/>
        <w:rPr>
          <w:rFonts w:eastAsia="Times New Roman" w:cs="Times New Roman"/>
          <w:szCs w:val="28"/>
        </w:rPr>
      </w:pPr>
      <w:r w:rsidRPr="00FE59F0">
        <w:rPr>
          <w:b/>
          <w:bCs/>
          <w:sz w:val="36"/>
        </w:rPr>
        <w:t>Подготовка и публикация публичного доклада.</w:t>
      </w:r>
      <w:r w:rsidR="00276331">
        <w:rPr>
          <w:rFonts w:eastAsia="Times New Roman" w:cs="Times New Roman"/>
          <w:szCs w:val="28"/>
        </w:rPr>
        <w:tab/>
      </w:r>
    </w:p>
    <w:p w14:paraId="6662F4DA" w14:textId="76252E96" w:rsidR="00A14362" w:rsidRDefault="00A14362" w:rsidP="00FE59F0">
      <w:pPr>
        <w:tabs>
          <w:tab w:val="left" w:pos="3761"/>
          <w:tab w:val="center" w:pos="4677"/>
        </w:tabs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52063733" w14:textId="4878709D" w:rsidR="00A14362" w:rsidRPr="00276331" w:rsidRDefault="003F118B" w:rsidP="0027633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21C13593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34D7614D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6E3BD6B6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49809C93" w14:textId="77777777" w:rsidR="00FE59F0" w:rsidRDefault="00FE59F0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34847036" w14:textId="77777777" w:rsidR="00FE59F0" w:rsidRDefault="00FE59F0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1BF307CE" w14:textId="77777777" w:rsidR="00FE59F0" w:rsidRDefault="00FE59F0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39541580" w14:textId="77777777" w:rsidR="00FE59F0" w:rsidRDefault="00FE59F0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523527B8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77800094" w14:textId="77777777" w:rsidR="00276331" w:rsidRDefault="00276331" w:rsidP="00A14362">
      <w:pPr>
        <w:ind w:firstLine="0"/>
        <w:jc w:val="both"/>
        <w:rPr>
          <w:rFonts w:eastAsia="Times New Roman" w:cs="Times New Roman"/>
        </w:rPr>
      </w:pPr>
    </w:p>
    <w:p w14:paraId="03BFADEA" w14:textId="77777777" w:rsidR="00276331" w:rsidRDefault="00276331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276331">
      <w:pPr>
        <w:ind w:firstLine="0"/>
        <w:jc w:val="both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3102E80A" w14:textId="77777777" w:rsidR="007E3461" w:rsidRDefault="00A14362" w:rsidP="007E3461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7E3461">
        <w:rPr>
          <w:rFonts w:eastAsia="Times New Roman" w:cs="Times New Roman"/>
        </w:rPr>
        <w:t>5</w:t>
      </w:r>
    </w:p>
    <w:p w14:paraId="687C2BBD" w14:textId="5AA9F8CF" w:rsidR="007E3461" w:rsidRPr="007E3461" w:rsidRDefault="007E3461" w:rsidP="007E3461">
      <w:pPr>
        <w:ind w:firstLine="0"/>
        <w:jc w:val="both"/>
        <w:rPr>
          <w:rStyle w:val="10"/>
          <w:rFonts w:eastAsia="Times New Roman" w:cs="Times New Roman"/>
          <w:sz w:val="28"/>
          <w:szCs w:val="22"/>
        </w:rPr>
        <w:sectPr w:rsidR="007E3461" w:rsidRPr="007E34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/>
          <w:b w:val="0"/>
          <w:bCs w:val="0"/>
          <w:color w:val="auto"/>
          <w:sz w:val="32"/>
          <w:szCs w:val="32"/>
          <w:lang w:eastAsia="en-US"/>
        </w:rPr>
        <w:id w:val="2025740731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8"/>
          <w:szCs w:val="22"/>
        </w:rPr>
      </w:sdtEndPr>
      <w:sdtContent>
        <w:p w14:paraId="15E79CFB" w14:textId="3876846C" w:rsidR="005A1E87" w:rsidRDefault="005A1E87">
          <w:pPr>
            <w:pStyle w:val="aa"/>
          </w:pPr>
          <w:r>
            <w:t>Оглавление</w:t>
          </w:r>
        </w:p>
        <w:p w14:paraId="0388CC37" w14:textId="6463A86E" w:rsidR="003769EF" w:rsidRDefault="005A1E8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21904" w:history="1">
            <w:r w:rsidR="003769EF" w:rsidRPr="00207809">
              <w:rPr>
                <w:rStyle w:val="ab"/>
                <w:lang w:val="ru-UA"/>
              </w:rPr>
              <w:t>Значение публичного доклада</w:t>
            </w:r>
            <w:r w:rsidR="003769EF">
              <w:rPr>
                <w:webHidden/>
              </w:rPr>
              <w:tab/>
            </w:r>
            <w:r w:rsidR="003769EF">
              <w:rPr>
                <w:webHidden/>
              </w:rPr>
              <w:fldChar w:fldCharType="begin"/>
            </w:r>
            <w:r w:rsidR="003769EF">
              <w:rPr>
                <w:webHidden/>
              </w:rPr>
              <w:instrText xml:space="preserve"> PAGEREF _Toc193221904 \h </w:instrText>
            </w:r>
            <w:r w:rsidR="003769EF">
              <w:rPr>
                <w:webHidden/>
              </w:rPr>
            </w:r>
            <w:r w:rsidR="003769EF">
              <w:rPr>
                <w:webHidden/>
              </w:rPr>
              <w:fldChar w:fldCharType="separate"/>
            </w:r>
            <w:r w:rsidR="003769EF">
              <w:rPr>
                <w:webHidden/>
              </w:rPr>
              <w:t>3</w:t>
            </w:r>
            <w:r w:rsidR="003769EF">
              <w:rPr>
                <w:webHidden/>
              </w:rPr>
              <w:fldChar w:fldCharType="end"/>
            </w:r>
          </w:hyperlink>
        </w:p>
        <w:p w14:paraId="320F1B8B" w14:textId="4EB984C0" w:rsidR="003769EF" w:rsidRDefault="003769E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3221905" w:history="1">
            <w:r w:rsidRPr="00207809">
              <w:rPr>
                <w:rStyle w:val="ab"/>
                <w:lang w:val="ru-UA"/>
              </w:rPr>
              <w:t>Публичный доклад средней школы №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_Toc193221905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A07ADE" w14:textId="5C7B50ED" w:rsidR="003769EF" w:rsidRDefault="003769E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3221906" w:history="1">
            <w:r w:rsidRPr="00207809">
              <w:rPr>
                <w:rStyle w:val="ab"/>
                <w:lang w:val="ru-UA"/>
              </w:rPr>
              <w:t>Публичный доклад Красноуфимского педагогического колледжа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_Toc193221906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96422F" w14:textId="4A8A66B2" w:rsidR="003769EF" w:rsidRDefault="003769E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3221907" w:history="1">
            <w:r w:rsidRPr="00207809">
              <w:rPr>
                <w:rStyle w:val="ab"/>
                <w:lang w:val="ru-UA"/>
              </w:rPr>
              <w:t>Публичный доклад детского сада №1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_Toc193221907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275CD02" w14:textId="6E1E7BD2" w:rsidR="003769EF" w:rsidRDefault="003769E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3221908" w:history="1">
            <w:r w:rsidRPr="00207809">
              <w:rPr>
                <w:rStyle w:val="ab"/>
                <w:lang w:val="ru-UA"/>
              </w:rPr>
              <w:t>Сравнительная таблица публичных докладов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_Toc193221908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7E16CE" w14:textId="4C468797" w:rsidR="005A1E87" w:rsidRDefault="005A1E87">
          <w:r>
            <w:rPr>
              <w:b/>
              <w:bCs/>
            </w:rPr>
            <w:fldChar w:fldCharType="end"/>
          </w:r>
        </w:p>
      </w:sdtContent>
    </w:sdt>
    <w:p w14:paraId="5CDC39D7" w14:textId="77777777" w:rsidR="0081388E" w:rsidRDefault="005A1E87" w:rsidP="0081388E">
      <w:pPr>
        <w:ind w:firstLine="0"/>
        <w:jc w:val="both"/>
        <w:rPr>
          <w:lang w:val="ru-UA"/>
        </w:rPr>
      </w:pPr>
      <w:r>
        <w:rPr>
          <w:lang w:val="ru-UA"/>
        </w:rPr>
        <w:br w:type="page"/>
      </w:r>
    </w:p>
    <w:p w14:paraId="2DAC6460" w14:textId="037B8A35" w:rsidR="0081388E" w:rsidRPr="0081388E" w:rsidRDefault="00FE59F0" w:rsidP="0081388E">
      <w:pPr>
        <w:pStyle w:val="1"/>
        <w:ind w:firstLine="0"/>
        <w:rPr>
          <w:lang w:val="ru-UA"/>
        </w:rPr>
      </w:pPr>
      <w:bookmarkStart w:id="0" w:name="_Toc193221904"/>
      <w:r>
        <w:rPr>
          <w:lang w:val="ru-UA"/>
        </w:rPr>
        <w:lastRenderedPageBreak/>
        <w:t xml:space="preserve">Значение публичного </w:t>
      </w:r>
      <w:r w:rsidR="00C73A77" w:rsidRPr="00FE59F0">
        <w:rPr>
          <w:lang w:val="ru-UA"/>
        </w:rPr>
        <w:t>доклад</w:t>
      </w:r>
      <w:r w:rsidR="00C73A77">
        <w:rPr>
          <w:lang w:val="ru-UA"/>
        </w:rPr>
        <w:t>а</w:t>
      </w:r>
      <w:bookmarkEnd w:id="0"/>
    </w:p>
    <w:p w14:paraId="35F94B33" w14:textId="77777777" w:rsidR="0081388E" w:rsidRDefault="0081388E" w:rsidP="0081388E">
      <w:pPr>
        <w:ind w:firstLine="0"/>
        <w:jc w:val="both"/>
        <w:rPr>
          <w:lang w:val="ru-UA"/>
        </w:rPr>
      </w:pPr>
    </w:p>
    <w:p w14:paraId="1208A911" w14:textId="77777777" w:rsidR="00FE59F0" w:rsidRPr="00FE59F0" w:rsidRDefault="00FE59F0" w:rsidP="00FE59F0">
      <w:pPr>
        <w:jc w:val="both"/>
        <w:rPr>
          <w:lang w:val="ru-UA"/>
        </w:rPr>
      </w:pPr>
      <w:r w:rsidRPr="00FE59F0">
        <w:rPr>
          <w:lang w:val="ru-UA"/>
        </w:rPr>
        <w:t>Публичный доклад представляет собой структурированный документ, который отражает результаты деятельности учреждения за определенный период, демонстрирует достигнутые успехи, выявляет проблемы и определяет перспективы развития. Этот инструмент широко используется в образовательных учреждениях различного уровня — от детских садов до профессиональных учебных заведений — и требует тщательной подготовки, чтобы соответствовать ожиданиям целевой аудитории и нормативным требованиям.</w:t>
      </w:r>
    </w:p>
    <w:p w14:paraId="5BC1B429" w14:textId="25E79EA8" w:rsidR="005A1E87" w:rsidRDefault="005A1E87" w:rsidP="005A1E87">
      <w:pPr>
        <w:jc w:val="both"/>
        <w:rPr>
          <w:lang w:val="ru-UA"/>
        </w:rPr>
      </w:pPr>
    </w:p>
    <w:p w14:paraId="4EA6E98C" w14:textId="229B339E" w:rsidR="0065128B" w:rsidRPr="0065128B" w:rsidRDefault="0065128B" w:rsidP="0065128B">
      <w:pPr>
        <w:ind w:firstLine="0"/>
        <w:jc w:val="both"/>
        <w:rPr>
          <w:lang w:val="ru-UA"/>
        </w:rPr>
      </w:pPr>
      <w:r w:rsidRPr="00FE59F0">
        <w:rPr>
          <w:lang w:val="ru-UA"/>
        </w:rPr>
        <w:t xml:space="preserve">Публичный доклад </w:t>
      </w:r>
      <w:r w:rsidRPr="0065128B">
        <w:rPr>
          <w:lang w:val="ru-UA"/>
        </w:rPr>
        <w:t>выполняет сразу несколько функций в системе управления организацией, особенно в образовательной сфере. Его значение многогранно и охватывает аспекты прозрачности, подотчетности, взаимодействия с обществом и стратегического планирования</w:t>
      </w:r>
    </w:p>
    <w:p w14:paraId="171893A3" w14:textId="77777777" w:rsidR="0065128B" w:rsidRDefault="0065128B" w:rsidP="005A1E87">
      <w:pPr>
        <w:jc w:val="both"/>
        <w:rPr>
          <w:lang w:val="ru-UA"/>
        </w:rPr>
      </w:pPr>
    </w:p>
    <w:p w14:paraId="38CD26DB" w14:textId="77777777" w:rsidR="0065128B" w:rsidRDefault="0065128B" w:rsidP="0065128B">
      <w:pPr>
        <w:ind w:firstLine="0"/>
        <w:jc w:val="both"/>
        <w:rPr>
          <w:lang w:val="ru-UA"/>
        </w:rPr>
      </w:pPr>
      <w:r w:rsidRPr="0065128B">
        <w:rPr>
          <w:lang w:val="ru-UA"/>
        </w:rPr>
        <w:t xml:space="preserve">Одна из ключевых задач публичного </w:t>
      </w:r>
      <w:r>
        <w:rPr>
          <w:lang w:val="ru-UA"/>
        </w:rPr>
        <w:t>доклада</w:t>
      </w:r>
      <w:r w:rsidRPr="0065128B">
        <w:rPr>
          <w:lang w:val="ru-UA"/>
        </w:rPr>
        <w:t xml:space="preserve"> — донести до широкой аудитории информацию о деятельности учреждения в доступной и понятной форме. Это особенно важно для образовательных организаций, где целевая аудитория (родители, учащиеся, работодатели) нуждается в объективных данных для принятия решений — выборе школы, колледжа или детского сада, участии в образовательных программах. </w:t>
      </w:r>
    </w:p>
    <w:p w14:paraId="050796AE" w14:textId="77777777" w:rsidR="0065128B" w:rsidRDefault="0065128B" w:rsidP="0065128B">
      <w:pPr>
        <w:ind w:firstLine="0"/>
        <w:jc w:val="both"/>
        <w:rPr>
          <w:lang w:val="ru-UA"/>
        </w:rPr>
      </w:pPr>
    </w:p>
    <w:p w14:paraId="55D870A1" w14:textId="484FEEAA" w:rsidR="0065128B" w:rsidRPr="0065128B" w:rsidRDefault="0065128B" w:rsidP="0065128B">
      <w:pPr>
        <w:ind w:firstLine="0"/>
        <w:jc w:val="both"/>
        <w:rPr>
          <w:lang w:val="ru-UA"/>
        </w:rPr>
      </w:pPr>
      <w:r w:rsidRPr="0065128B">
        <w:rPr>
          <w:lang w:val="ru-UA"/>
        </w:rPr>
        <w:t xml:space="preserve">Публичный </w:t>
      </w:r>
      <w:r>
        <w:rPr>
          <w:lang w:val="ru-UA"/>
        </w:rPr>
        <w:t>доклад</w:t>
      </w:r>
      <w:r w:rsidRPr="0065128B">
        <w:rPr>
          <w:lang w:val="ru-UA"/>
        </w:rPr>
        <w:t xml:space="preserve"> не только информирует, но и создает площадку для диалога, позволяя общественности задавать вопросы, предлагать идеи или выражать озабоченность. В идеале он способствует формированию партнерских отношений между учреждением и его окружением.</w:t>
      </w:r>
    </w:p>
    <w:p w14:paraId="56E48634" w14:textId="77777777" w:rsidR="0065128B" w:rsidRDefault="0065128B" w:rsidP="005A1E87">
      <w:pPr>
        <w:jc w:val="both"/>
        <w:rPr>
          <w:lang w:val="ru-UA"/>
        </w:rPr>
      </w:pPr>
    </w:p>
    <w:p w14:paraId="5BEDB61E" w14:textId="77777777" w:rsidR="0081388E" w:rsidRPr="0081388E" w:rsidRDefault="0081388E" w:rsidP="005A1E87">
      <w:pPr>
        <w:jc w:val="both"/>
        <w:rPr>
          <w:lang w:val="ru-UA"/>
        </w:rPr>
      </w:pPr>
    </w:p>
    <w:p w14:paraId="635CF263" w14:textId="77777777" w:rsidR="00FE59F0" w:rsidRPr="00FE59F0" w:rsidRDefault="00FE59F0" w:rsidP="00FE59F0">
      <w:pPr>
        <w:rPr>
          <w:rFonts w:eastAsiaTheme="majorEastAsia" w:cstheme="majorBidi"/>
          <w:sz w:val="32"/>
          <w:szCs w:val="32"/>
          <w:lang w:val="ru-UA"/>
        </w:rPr>
      </w:pPr>
      <w:r w:rsidRPr="00FE59F0">
        <w:rPr>
          <w:rFonts w:eastAsiaTheme="majorEastAsia" w:cstheme="majorBidi"/>
          <w:sz w:val="32"/>
          <w:szCs w:val="32"/>
          <w:lang w:val="ru-UA"/>
        </w:rPr>
        <w:t>Содержание публичного доклада</w:t>
      </w:r>
    </w:p>
    <w:p w14:paraId="50B52378" w14:textId="77777777" w:rsidR="0081388E" w:rsidRDefault="0081388E" w:rsidP="0081388E">
      <w:pPr>
        <w:jc w:val="both"/>
      </w:pPr>
    </w:p>
    <w:p w14:paraId="733A2CBD" w14:textId="77777777" w:rsidR="00FE59F0" w:rsidRDefault="00FE59F0" w:rsidP="00FE59F0">
      <w:pPr>
        <w:jc w:val="both"/>
        <w:rPr>
          <w:lang w:val="ru-UA"/>
        </w:rPr>
      </w:pPr>
      <w:r w:rsidRPr="00FE59F0">
        <w:rPr>
          <w:lang w:val="ru-UA"/>
        </w:rPr>
        <w:t>Публичный доклад должен быть всеобъемлющим, но при этом лаконичным, чтобы оставаться доступным для широкой аудитории. В его структуре обычно выделяются следующие ключевые элементы:</w:t>
      </w:r>
    </w:p>
    <w:p w14:paraId="4031C9D6" w14:textId="77777777" w:rsidR="00FE59F0" w:rsidRPr="00FE59F0" w:rsidRDefault="00FE59F0" w:rsidP="00FE59F0">
      <w:pPr>
        <w:jc w:val="both"/>
        <w:rPr>
          <w:lang w:val="ru-UA"/>
        </w:rPr>
      </w:pPr>
    </w:p>
    <w:p w14:paraId="19D349FF" w14:textId="77777777" w:rsidR="00FE59F0" w:rsidRPr="00FE59F0" w:rsidRDefault="00FE59F0" w:rsidP="00FE59F0">
      <w:pPr>
        <w:numPr>
          <w:ilvl w:val="0"/>
          <w:numId w:val="41"/>
        </w:numPr>
        <w:jc w:val="both"/>
        <w:rPr>
          <w:lang w:val="ru-UA"/>
        </w:rPr>
      </w:pPr>
      <w:r w:rsidRPr="00FE59F0">
        <w:rPr>
          <w:b/>
          <w:bCs/>
          <w:lang w:val="ru-UA"/>
        </w:rPr>
        <w:t>Введение</w:t>
      </w:r>
      <w:r w:rsidRPr="00FE59F0">
        <w:rPr>
          <w:lang w:val="ru-UA"/>
        </w:rPr>
        <w:t>: Краткое описание целей и задач доклада, а также периода, который он охватывает.</w:t>
      </w:r>
    </w:p>
    <w:p w14:paraId="59CA6E83" w14:textId="77777777" w:rsidR="00FE59F0" w:rsidRPr="00FE59F0" w:rsidRDefault="00FE59F0" w:rsidP="00FE59F0">
      <w:pPr>
        <w:numPr>
          <w:ilvl w:val="0"/>
          <w:numId w:val="41"/>
        </w:numPr>
        <w:jc w:val="both"/>
        <w:rPr>
          <w:lang w:val="ru-UA"/>
        </w:rPr>
      </w:pPr>
      <w:r w:rsidRPr="00FE59F0">
        <w:rPr>
          <w:b/>
          <w:bCs/>
          <w:lang w:val="ru-UA"/>
        </w:rPr>
        <w:t>Общая характеристика учреждения</w:t>
      </w:r>
      <w:r w:rsidRPr="00FE59F0">
        <w:rPr>
          <w:lang w:val="ru-UA"/>
        </w:rPr>
        <w:t>: Информация о миссии, структуре, контингенте (учащихся, воспитанников, сотрудников) и ресурсной базе.</w:t>
      </w:r>
    </w:p>
    <w:p w14:paraId="45FE7E3E" w14:textId="77777777" w:rsidR="00FE59F0" w:rsidRPr="00FE59F0" w:rsidRDefault="00FE59F0" w:rsidP="00FE59F0">
      <w:pPr>
        <w:numPr>
          <w:ilvl w:val="0"/>
          <w:numId w:val="41"/>
        </w:numPr>
        <w:jc w:val="both"/>
        <w:rPr>
          <w:lang w:val="ru-UA"/>
        </w:rPr>
      </w:pPr>
      <w:r w:rsidRPr="00FE59F0">
        <w:rPr>
          <w:b/>
          <w:bCs/>
          <w:lang w:val="ru-UA"/>
        </w:rPr>
        <w:t>Результаты деятельности</w:t>
      </w:r>
      <w:r w:rsidRPr="00FE59F0">
        <w:rPr>
          <w:lang w:val="ru-UA"/>
        </w:rPr>
        <w:t>: Достижения в образовательной, воспитательной или профессиональной сферах, подкрепленные конкретными данными (например, успеваемость, участие в конкурсах, трудоустройство выпускников).</w:t>
      </w:r>
    </w:p>
    <w:p w14:paraId="4F3DE484" w14:textId="77777777" w:rsidR="00FE59F0" w:rsidRPr="00FE59F0" w:rsidRDefault="00FE59F0" w:rsidP="00FE59F0">
      <w:pPr>
        <w:numPr>
          <w:ilvl w:val="0"/>
          <w:numId w:val="41"/>
        </w:numPr>
        <w:jc w:val="both"/>
        <w:rPr>
          <w:lang w:val="ru-UA"/>
        </w:rPr>
      </w:pPr>
      <w:r w:rsidRPr="00FE59F0">
        <w:rPr>
          <w:b/>
          <w:bCs/>
          <w:lang w:val="ru-UA"/>
        </w:rPr>
        <w:lastRenderedPageBreak/>
        <w:t>Анализ проблем</w:t>
      </w:r>
      <w:r w:rsidRPr="00FE59F0">
        <w:rPr>
          <w:lang w:val="ru-UA"/>
        </w:rPr>
        <w:t>: Честное обсуждение трудностей, с которыми столкнулось учреждение, и причин их возникновения.</w:t>
      </w:r>
    </w:p>
    <w:p w14:paraId="14748D8C" w14:textId="77777777" w:rsidR="00FE59F0" w:rsidRPr="00FE59F0" w:rsidRDefault="00FE59F0" w:rsidP="00FE59F0">
      <w:pPr>
        <w:numPr>
          <w:ilvl w:val="0"/>
          <w:numId w:val="41"/>
        </w:numPr>
        <w:jc w:val="both"/>
        <w:rPr>
          <w:lang w:val="ru-UA"/>
        </w:rPr>
      </w:pPr>
      <w:r w:rsidRPr="00FE59F0">
        <w:rPr>
          <w:b/>
          <w:bCs/>
          <w:lang w:val="ru-UA"/>
        </w:rPr>
        <w:t>Финансовая отчетность</w:t>
      </w:r>
      <w:r w:rsidRPr="00FE59F0">
        <w:rPr>
          <w:lang w:val="ru-UA"/>
        </w:rPr>
        <w:t>: Сведения о бюджете, расходах и источниках финансирования, что особенно важно для государственных организаций.</w:t>
      </w:r>
    </w:p>
    <w:p w14:paraId="5666F56C" w14:textId="77777777" w:rsidR="00FE59F0" w:rsidRPr="00FE59F0" w:rsidRDefault="00FE59F0" w:rsidP="00FE59F0">
      <w:pPr>
        <w:numPr>
          <w:ilvl w:val="0"/>
          <w:numId w:val="41"/>
        </w:numPr>
        <w:jc w:val="both"/>
        <w:rPr>
          <w:lang w:val="ru-UA"/>
        </w:rPr>
      </w:pPr>
      <w:r w:rsidRPr="00FE59F0">
        <w:rPr>
          <w:b/>
          <w:bCs/>
          <w:lang w:val="ru-UA"/>
        </w:rPr>
        <w:t>Планы на будущее</w:t>
      </w:r>
      <w:r w:rsidRPr="00FE59F0">
        <w:rPr>
          <w:lang w:val="ru-UA"/>
        </w:rPr>
        <w:t>: Стратегические цели и приоритетные направления развития.</w:t>
      </w:r>
    </w:p>
    <w:p w14:paraId="46E2079A" w14:textId="77777777" w:rsidR="00FE59F0" w:rsidRDefault="00FE59F0" w:rsidP="00FE59F0">
      <w:pPr>
        <w:numPr>
          <w:ilvl w:val="0"/>
          <w:numId w:val="41"/>
        </w:numPr>
        <w:jc w:val="both"/>
        <w:rPr>
          <w:lang w:val="ru-UA"/>
        </w:rPr>
      </w:pPr>
      <w:r w:rsidRPr="00FE59F0">
        <w:rPr>
          <w:b/>
          <w:bCs/>
          <w:lang w:val="ru-UA"/>
        </w:rPr>
        <w:t>Обратная связь</w:t>
      </w:r>
      <w:r w:rsidRPr="00FE59F0">
        <w:rPr>
          <w:lang w:val="ru-UA"/>
        </w:rPr>
        <w:t>: Механизмы взаимодействия с общественностью, включая возможность оставить отзывы или предложения.</w:t>
      </w:r>
    </w:p>
    <w:p w14:paraId="44CC960F" w14:textId="77777777" w:rsidR="00FE59F0" w:rsidRPr="00FE59F0" w:rsidRDefault="00FE59F0" w:rsidP="00FE59F0">
      <w:pPr>
        <w:ind w:firstLine="0"/>
        <w:jc w:val="both"/>
        <w:rPr>
          <w:lang w:val="ru-UA"/>
        </w:rPr>
      </w:pPr>
    </w:p>
    <w:p w14:paraId="59D8A699" w14:textId="44760E0D" w:rsidR="0081388E" w:rsidRDefault="00FE59F0" w:rsidP="002F2353">
      <w:pPr>
        <w:jc w:val="both"/>
        <w:rPr>
          <w:lang w:val="ru-UA"/>
        </w:rPr>
      </w:pPr>
      <w:r w:rsidRPr="00FE59F0">
        <w:rPr>
          <w:lang w:val="ru-UA"/>
        </w:rPr>
        <w:t>Эти элементы обеспечивают баланс между информативностью и открытостью, позволяя заинтересованным сторонам — родителям, педагогам, органам управления — получить полное представление о работе учреждения.</w:t>
      </w:r>
    </w:p>
    <w:p w14:paraId="7D1F1C7D" w14:textId="77777777" w:rsidR="002F2353" w:rsidRDefault="002F2353" w:rsidP="002F2353">
      <w:pPr>
        <w:jc w:val="both"/>
        <w:rPr>
          <w:lang w:val="ru-UA"/>
        </w:rPr>
      </w:pPr>
    </w:p>
    <w:p w14:paraId="0508C7B1" w14:textId="77777777" w:rsidR="00FE59F0" w:rsidRPr="00FE59F0" w:rsidRDefault="00FE59F0" w:rsidP="00FE59F0">
      <w:pPr>
        <w:ind w:firstLine="0"/>
        <w:rPr>
          <w:rFonts w:eastAsiaTheme="majorEastAsia" w:cstheme="majorBidi"/>
          <w:sz w:val="32"/>
          <w:szCs w:val="32"/>
          <w:lang w:val="ru-UA"/>
        </w:rPr>
      </w:pPr>
      <w:r w:rsidRPr="00FE59F0">
        <w:rPr>
          <w:rFonts w:eastAsiaTheme="majorEastAsia" w:cstheme="majorBidi"/>
          <w:sz w:val="32"/>
          <w:szCs w:val="32"/>
          <w:lang w:val="ru-UA"/>
        </w:rPr>
        <w:t>Сравнение публичных докладов образовательных учреждений</w:t>
      </w:r>
    </w:p>
    <w:p w14:paraId="08C2568E" w14:textId="77777777" w:rsidR="0081388E" w:rsidRPr="0081388E" w:rsidRDefault="0081388E" w:rsidP="0081388E">
      <w:pPr>
        <w:rPr>
          <w:lang w:val="ru-UA"/>
        </w:rPr>
      </w:pPr>
    </w:p>
    <w:p w14:paraId="0EA381D0" w14:textId="2C4F4572" w:rsidR="00FE59F0" w:rsidRPr="00FE59F0" w:rsidRDefault="00FE59F0" w:rsidP="00FE59F0">
      <w:pPr>
        <w:ind w:firstLine="0"/>
        <w:jc w:val="both"/>
        <w:rPr>
          <w:lang w:val="ru-UA"/>
        </w:rPr>
      </w:pPr>
      <w:r w:rsidRPr="00FE59F0">
        <w:rPr>
          <w:lang w:val="ru-UA"/>
        </w:rPr>
        <w:t xml:space="preserve">Для анализа подходов к составлению публичных докладов рассмотрим примеры трех типов образовательных организаций: </w:t>
      </w:r>
      <w:hyperlink r:id="rId8" w:history="1">
        <w:r w:rsidRPr="00FE59F0">
          <w:rPr>
            <w:rStyle w:val="ab"/>
          </w:rPr>
          <w:t>Средняя школа  № 3</w:t>
        </w:r>
      </w:hyperlink>
      <w:r w:rsidRPr="00FE59F0">
        <w:rPr>
          <w:lang w:val="ru-UA"/>
        </w:rPr>
        <w:t xml:space="preserve">, </w:t>
      </w:r>
      <w:hyperlink r:id="rId9" w:history="1">
        <w:r w:rsidRPr="00FE59F0">
          <w:rPr>
            <w:rStyle w:val="ab"/>
          </w:rPr>
          <w:t>ГАПОУ СО «Красноуфимский педагогический колледж»</w:t>
        </w:r>
      </w:hyperlink>
      <w:r w:rsidRPr="00FE59F0">
        <w:rPr>
          <w:lang w:val="ru-UA"/>
        </w:rPr>
        <w:t xml:space="preserve"> и </w:t>
      </w:r>
      <w:hyperlink r:id="rId10" w:history="1">
        <w:r w:rsidRPr="00FE59F0">
          <w:rPr>
            <w:rStyle w:val="ab"/>
          </w:rPr>
          <w:t>МАДОУ детский сад 1</w:t>
        </w:r>
      </w:hyperlink>
      <w:r w:rsidRPr="00FE59F0">
        <w:rPr>
          <w:lang w:val="ru-UA"/>
        </w:rPr>
        <w:t>. Несмотря на общие принципы, специфика каждого уровня образования накладывает отпечаток на содержание и акценты этих документов.</w:t>
      </w:r>
    </w:p>
    <w:p w14:paraId="18BE4072" w14:textId="77777777" w:rsidR="00D113A0" w:rsidRDefault="00D113A0" w:rsidP="00D113A0">
      <w:pPr>
        <w:ind w:firstLine="0"/>
        <w:jc w:val="both"/>
        <w:rPr>
          <w:lang w:val="ru-UA"/>
        </w:rPr>
      </w:pPr>
    </w:p>
    <w:p w14:paraId="58D25A01" w14:textId="1FFFDEB6" w:rsidR="00FE59F0" w:rsidRPr="00FE59F0" w:rsidRDefault="00FE59F0" w:rsidP="00FE59F0">
      <w:pPr>
        <w:pStyle w:val="1"/>
        <w:rPr>
          <w:lang w:val="ru-UA"/>
        </w:rPr>
      </w:pPr>
      <w:bookmarkStart w:id="1" w:name="_Toc193221905"/>
      <w:r w:rsidRPr="00FE59F0">
        <w:rPr>
          <w:lang w:val="ru-UA"/>
        </w:rPr>
        <w:t>Публичный доклад средней школы № 3</w:t>
      </w:r>
      <w:bookmarkEnd w:id="1"/>
    </w:p>
    <w:p w14:paraId="0A41FDBE" w14:textId="77777777" w:rsidR="00FE59F0" w:rsidRDefault="00FE59F0" w:rsidP="00FE59F0">
      <w:pPr>
        <w:ind w:firstLine="0"/>
        <w:jc w:val="both"/>
        <w:rPr>
          <w:lang w:val="ru-UA"/>
        </w:rPr>
      </w:pPr>
      <w:r w:rsidRPr="00FE59F0">
        <w:rPr>
          <w:lang w:val="ru-UA"/>
        </w:rPr>
        <w:t xml:space="preserve">Публичный доклад средней общеобразовательной школы №3 ориентирован на демонстрацию образовательных результатов и соответствие государственным стандартам. В нем подробно описываются итоги учебной деятельности: успеваемость учащихся, результаты государственной итоговой аттестации (ГИА), участие в олимпиадах и конкурсах. </w:t>
      </w:r>
    </w:p>
    <w:p w14:paraId="14C1665A" w14:textId="77777777" w:rsidR="00C73A77" w:rsidRDefault="00C73A77" w:rsidP="00FE59F0">
      <w:pPr>
        <w:ind w:firstLine="0"/>
        <w:jc w:val="both"/>
        <w:rPr>
          <w:lang w:val="ru-UA"/>
        </w:rPr>
      </w:pPr>
    </w:p>
    <w:p w14:paraId="18D3CD67" w14:textId="7977F6BF" w:rsidR="00FE59F0" w:rsidRPr="00FE59F0" w:rsidRDefault="00FE59F0" w:rsidP="00FE59F0">
      <w:pPr>
        <w:ind w:firstLine="0"/>
        <w:jc w:val="both"/>
        <w:rPr>
          <w:lang w:val="ru-UA"/>
        </w:rPr>
      </w:pPr>
      <w:r w:rsidRPr="00FE59F0">
        <w:rPr>
          <w:lang w:val="ru-UA"/>
        </w:rPr>
        <w:t>Особое внимание уделяется внеурочной деятельности — кружкам, спортивным секциям, патриотическому воспитанию, что отражает комплексный подход к развитию личности. Финансовый раздел включает данные о бюджетном финансировании и дополнительных средствах, привлеченных через гранты или родительские взносы. Однако доклад может быть избыточно формальным, с недостаточным акцентом на проблемах и путях их решения, что снижает его аналитическую ценность.</w:t>
      </w:r>
    </w:p>
    <w:p w14:paraId="4507ABD3" w14:textId="5257952B" w:rsidR="00FE59F0" w:rsidRDefault="002F2353" w:rsidP="002F2353">
      <w:pPr>
        <w:rPr>
          <w:lang w:val="ru-UA"/>
        </w:rPr>
      </w:pPr>
      <w:r>
        <w:rPr>
          <w:lang w:val="ru-UA"/>
        </w:rPr>
        <w:br w:type="page"/>
      </w:r>
    </w:p>
    <w:p w14:paraId="07DA3CBA" w14:textId="63858E4B" w:rsidR="00FE59F0" w:rsidRPr="00FE59F0" w:rsidRDefault="00FE59F0" w:rsidP="00FE59F0">
      <w:pPr>
        <w:pStyle w:val="1"/>
        <w:rPr>
          <w:lang w:val="ru-UA"/>
        </w:rPr>
      </w:pPr>
      <w:bookmarkStart w:id="2" w:name="_Toc193221906"/>
      <w:r w:rsidRPr="00FE59F0">
        <w:rPr>
          <w:lang w:val="ru-UA"/>
        </w:rPr>
        <w:lastRenderedPageBreak/>
        <w:t xml:space="preserve">Публичный доклад </w:t>
      </w:r>
      <w:r>
        <w:rPr>
          <w:lang w:val="ru-UA"/>
        </w:rPr>
        <w:t xml:space="preserve">Красноуфимского </w:t>
      </w:r>
      <w:r w:rsidRPr="00FE59F0">
        <w:rPr>
          <w:lang w:val="ru-UA"/>
        </w:rPr>
        <w:t>педагогичес</w:t>
      </w:r>
      <w:r>
        <w:rPr>
          <w:lang w:val="ru-UA"/>
        </w:rPr>
        <w:t xml:space="preserve">кого </w:t>
      </w:r>
      <w:r w:rsidRPr="00FE59F0">
        <w:rPr>
          <w:lang w:val="ru-UA"/>
        </w:rPr>
        <w:t>колледжа</w:t>
      </w:r>
      <w:bookmarkEnd w:id="2"/>
      <w:r w:rsidRPr="00FE59F0">
        <w:rPr>
          <w:lang w:val="ru-UA"/>
        </w:rPr>
        <w:t xml:space="preserve"> </w:t>
      </w:r>
    </w:p>
    <w:p w14:paraId="1F15D716" w14:textId="77777777" w:rsidR="00FE59F0" w:rsidRDefault="00FE59F0" w:rsidP="00D113A0">
      <w:pPr>
        <w:ind w:firstLine="0"/>
        <w:jc w:val="both"/>
        <w:rPr>
          <w:lang w:val="ru-UA"/>
        </w:rPr>
      </w:pPr>
    </w:p>
    <w:p w14:paraId="6087781A" w14:textId="77777777" w:rsidR="00FE59F0" w:rsidRDefault="00FE59F0" w:rsidP="00FE59F0">
      <w:pPr>
        <w:ind w:firstLine="0"/>
        <w:jc w:val="both"/>
        <w:rPr>
          <w:lang w:val="ru-UA"/>
        </w:rPr>
      </w:pPr>
      <w:r>
        <w:rPr>
          <w:lang w:val="ru-UA"/>
        </w:rPr>
        <w:t xml:space="preserve">Красноуфимский </w:t>
      </w:r>
      <w:r w:rsidRPr="00FE59F0">
        <w:rPr>
          <w:lang w:val="ru-UA"/>
        </w:rPr>
        <w:t xml:space="preserve">педагогический колледж в своем публичном докладе делает упор на профессиональную подготовку студентов. Здесь акцент смещается на практическую направленность обучения: количество выпускников, трудоустроенных по специальности, сотрудничество с работодателями, участие в региональных чемпионатах профессионального мастерства (например, </w:t>
      </w:r>
      <w:proofErr w:type="spellStart"/>
      <w:r w:rsidRPr="00FE59F0">
        <w:rPr>
          <w:lang w:val="ru-UA"/>
        </w:rPr>
        <w:t>WorldSkills</w:t>
      </w:r>
      <w:proofErr w:type="spellEnd"/>
      <w:r w:rsidRPr="00FE59F0">
        <w:rPr>
          <w:lang w:val="ru-UA"/>
        </w:rPr>
        <w:t>).</w:t>
      </w:r>
    </w:p>
    <w:p w14:paraId="084AA837" w14:textId="77777777" w:rsidR="00C73A77" w:rsidRDefault="00C73A77" w:rsidP="00FE59F0">
      <w:pPr>
        <w:ind w:firstLine="0"/>
        <w:jc w:val="both"/>
        <w:rPr>
          <w:lang w:val="ru-UA"/>
        </w:rPr>
      </w:pPr>
    </w:p>
    <w:p w14:paraId="2DD0DDE8" w14:textId="370F499A" w:rsidR="00FE59F0" w:rsidRPr="00FE59F0" w:rsidRDefault="00FE59F0" w:rsidP="00FE59F0">
      <w:pPr>
        <w:ind w:firstLine="0"/>
        <w:jc w:val="both"/>
        <w:rPr>
          <w:lang w:val="ru-UA"/>
        </w:rPr>
      </w:pPr>
      <w:r w:rsidRPr="00FE59F0">
        <w:rPr>
          <w:lang w:val="ru-UA"/>
        </w:rPr>
        <w:t xml:space="preserve">В докладе также отражены данные о материально-технической базе — оборудовании мастерских и лабораторий, что критически важно для среднего профессионального образования (СПО). В отличие от школьного доклада, здесь больше внимания уделяется анализу рынка труда и адаптации образовательных программ к его требованиям. </w:t>
      </w:r>
    </w:p>
    <w:p w14:paraId="442A16EA" w14:textId="77777777" w:rsidR="00FE59F0" w:rsidRDefault="00FE59F0" w:rsidP="00D113A0">
      <w:pPr>
        <w:ind w:firstLine="0"/>
        <w:jc w:val="both"/>
        <w:rPr>
          <w:lang w:val="ru-UA"/>
        </w:rPr>
      </w:pPr>
    </w:p>
    <w:p w14:paraId="016A64C6" w14:textId="77777777" w:rsidR="00FE59F0" w:rsidRPr="00FE59F0" w:rsidRDefault="00FE59F0" w:rsidP="00FE59F0">
      <w:pPr>
        <w:pStyle w:val="1"/>
        <w:rPr>
          <w:lang w:val="ru-UA"/>
        </w:rPr>
      </w:pPr>
      <w:bookmarkStart w:id="3" w:name="_Toc193221907"/>
      <w:r w:rsidRPr="00FE59F0">
        <w:rPr>
          <w:lang w:val="ru-UA"/>
        </w:rPr>
        <w:t>Публичный доклад детского сада №1</w:t>
      </w:r>
      <w:bookmarkEnd w:id="3"/>
      <w:r w:rsidRPr="00FE59F0">
        <w:rPr>
          <w:lang w:val="ru-UA"/>
        </w:rPr>
        <w:t xml:space="preserve"> </w:t>
      </w:r>
    </w:p>
    <w:p w14:paraId="2CDD07F5" w14:textId="7F510AE9" w:rsidR="00FE59F0" w:rsidRPr="00FE59F0" w:rsidRDefault="00FE59F0" w:rsidP="00FE59F0">
      <w:pPr>
        <w:ind w:firstLine="0"/>
        <w:jc w:val="both"/>
        <w:rPr>
          <w:lang w:val="ru-UA"/>
        </w:rPr>
      </w:pPr>
      <w:r w:rsidRPr="00FE59F0">
        <w:rPr>
          <w:lang w:val="ru-UA"/>
        </w:rPr>
        <w:t>Публичный доклад детского сада №1 ориентирован на родителей как основную аудиторию. В нем подробно описывается создание комфортных условий для детей: наличие зон отдыха, игровых площадок, развивающих материалов. Особое внимание уделяется художественно-эстетическому направлению — приоритетному для этого учреждения, что проявляется в отчетах о выставках детских работ, музыкальных мероприятиях и творческих занятиях. Финансовый раздел включает информацию о расходах на питание, безопасность и благоустройство, что актуально для дошкольного уровня. В сравнении с докладами школы и колледжа, здесь больше эмоционального тона и меньше статистических данных, что соответствует специфике дошкольного образования, где акцент делается на индивидуальном развитии ребенка, а не на формальных показателях.</w:t>
      </w:r>
    </w:p>
    <w:p w14:paraId="7C54BFEB" w14:textId="77777777" w:rsidR="00FE59F0" w:rsidRDefault="00FE59F0" w:rsidP="00D113A0">
      <w:pPr>
        <w:ind w:firstLine="0"/>
        <w:jc w:val="both"/>
        <w:rPr>
          <w:lang w:val="ru-UA"/>
        </w:rPr>
      </w:pPr>
    </w:p>
    <w:p w14:paraId="4B86C9C1" w14:textId="40C0C3CD" w:rsidR="005319B7" w:rsidRPr="005319B7" w:rsidRDefault="005319B7" w:rsidP="005319B7">
      <w:pPr>
        <w:pStyle w:val="1"/>
        <w:rPr>
          <w:lang w:val="ru-UA"/>
        </w:rPr>
      </w:pPr>
      <w:bookmarkStart w:id="4" w:name="_Toc193221908"/>
      <w:r>
        <w:rPr>
          <w:lang w:val="ru-UA"/>
        </w:rPr>
        <w:t>Сравнительная таблица публичных докладов</w:t>
      </w:r>
      <w:bookmarkEnd w:id="4"/>
    </w:p>
    <w:tbl>
      <w:tblPr>
        <w:tblW w:w="949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2574"/>
        <w:gridCol w:w="2640"/>
        <w:gridCol w:w="2429"/>
      </w:tblGrid>
      <w:tr w:rsidR="005319B7" w:rsidRPr="005319B7" w14:paraId="7AA15D00" w14:textId="77777777" w:rsidTr="00C73A77">
        <w:trPr>
          <w:trHeight w:val="31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6D179" w14:textId="77777777" w:rsidR="005319B7" w:rsidRPr="005319B7" w:rsidRDefault="005319B7" w:rsidP="005319B7">
            <w:pPr>
              <w:ind w:firstLine="0"/>
              <w:jc w:val="both"/>
              <w:rPr>
                <w:b/>
                <w:bCs/>
                <w:lang w:val="ru-UA"/>
              </w:rPr>
            </w:pPr>
            <w:r w:rsidRPr="005319B7">
              <w:rPr>
                <w:b/>
                <w:bCs/>
                <w:lang w:val="ru-U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73CED90F" w14:textId="27A97628" w:rsidR="005319B7" w:rsidRPr="005319B7" w:rsidRDefault="005319B7" w:rsidP="005319B7">
            <w:pPr>
              <w:ind w:firstLine="0"/>
              <w:jc w:val="both"/>
              <w:rPr>
                <w:b/>
                <w:bCs/>
                <w:lang w:val="ru-UA"/>
              </w:rPr>
            </w:pPr>
            <w:r w:rsidRPr="005319B7">
              <w:rPr>
                <w:b/>
                <w:bCs/>
                <w:lang w:val="ru-UA"/>
              </w:rPr>
              <w:t>Средняя школа</w:t>
            </w:r>
          </w:p>
        </w:tc>
        <w:tc>
          <w:tcPr>
            <w:tcW w:w="0" w:type="auto"/>
            <w:vAlign w:val="center"/>
            <w:hideMark/>
          </w:tcPr>
          <w:p w14:paraId="616A06F0" w14:textId="051E43FC" w:rsidR="005319B7" w:rsidRPr="005319B7" w:rsidRDefault="005319B7" w:rsidP="005319B7">
            <w:pPr>
              <w:ind w:firstLine="0"/>
              <w:jc w:val="both"/>
              <w:rPr>
                <w:b/>
                <w:bCs/>
                <w:lang w:val="ru-UA"/>
              </w:rPr>
            </w:pPr>
            <w:r w:rsidRPr="005319B7">
              <w:rPr>
                <w:b/>
                <w:bCs/>
                <w:lang w:val="ru-UA"/>
              </w:rPr>
              <w:t xml:space="preserve">Колледж </w:t>
            </w:r>
          </w:p>
        </w:tc>
        <w:tc>
          <w:tcPr>
            <w:tcW w:w="0" w:type="auto"/>
            <w:vAlign w:val="center"/>
            <w:hideMark/>
          </w:tcPr>
          <w:p w14:paraId="3B991402" w14:textId="4832782B" w:rsidR="005319B7" w:rsidRPr="005319B7" w:rsidRDefault="005319B7" w:rsidP="005319B7">
            <w:pPr>
              <w:ind w:firstLine="0"/>
              <w:jc w:val="both"/>
              <w:rPr>
                <w:b/>
                <w:bCs/>
                <w:lang w:val="ru-UA"/>
              </w:rPr>
            </w:pPr>
            <w:r w:rsidRPr="005319B7">
              <w:rPr>
                <w:b/>
                <w:bCs/>
                <w:lang w:val="ru-UA"/>
              </w:rPr>
              <w:t>Детский сад</w:t>
            </w:r>
          </w:p>
        </w:tc>
      </w:tr>
      <w:tr w:rsidR="005319B7" w:rsidRPr="005319B7" w14:paraId="019B1B62" w14:textId="77777777" w:rsidTr="00C73A77">
        <w:trPr>
          <w:trHeight w:val="1594"/>
          <w:tblCellSpacing w:w="15" w:type="dxa"/>
        </w:trPr>
        <w:tc>
          <w:tcPr>
            <w:tcW w:w="0" w:type="auto"/>
            <w:vAlign w:val="center"/>
            <w:hideMark/>
          </w:tcPr>
          <w:p w14:paraId="1B79C5C2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b/>
                <w:bCs/>
                <w:lang w:val="ru-UA"/>
              </w:rPr>
              <w:t>Основная цель доклада</w:t>
            </w:r>
          </w:p>
        </w:tc>
        <w:tc>
          <w:tcPr>
            <w:tcW w:w="0" w:type="auto"/>
            <w:vAlign w:val="center"/>
            <w:hideMark/>
          </w:tcPr>
          <w:p w14:paraId="29A46797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Демонстрация образовательных результатов и соответствия стандартам</w:t>
            </w:r>
          </w:p>
        </w:tc>
        <w:tc>
          <w:tcPr>
            <w:tcW w:w="0" w:type="auto"/>
            <w:vAlign w:val="center"/>
            <w:hideMark/>
          </w:tcPr>
          <w:p w14:paraId="2326C39B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Подготовка специалистов и связь с рынком труда</w:t>
            </w:r>
          </w:p>
        </w:tc>
        <w:tc>
          <w:tcPr>
            <w:tcW w:w="0" w:type="auto"/>
            <w:vAlign w:val="center"/>
            <w:hideMark/>
          </w:tcPr>
          <w:p w14:paraId="212ACA2E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Создание условий для развития и комфорта детей</w:t>
            </w:r>
          </w:p>
        </w:tc>
      </w:tr>
      <w:tr w:rsidR="005319B7" w:rsidRPr="005319B7" w14:paraId="173BE445" w14:textId="77777777" w:rsidTr="00C73A77">
        <w:trPr>
          <w:trHeight w:val="1266"/>
          <w:tblCellSpacing w:w="15" w:type="dxa"/>
        </w:trPr>
        <w:tc>
          <w:tcPr>
            <w:tcW w:w="0" w:type="auto"/>
            <w:vAlign w:val="center"/>
            <w:hideMark/>
          </w:tcPr>
          <w:p w14:paraId="36763BD2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b/>
                <w:bCs/>
                <w:lang w:val="ru-UA"/>
              </w:rPr>
              <w:t>Ключевая аудитория</w:t>
            </w:r>
          </w:p>
        </w:tc>
        <w:tc>
          <w:tcPr>
            <w:tcW w:w="0" w:type="auto"/>
            <w:vAlign w:val="center"/>
            <w:hideMark/>
          </w:tcPr>
          <w:p w14:paraId="70E1AA20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Родители, органы управления образованием</w:t>
            </w:r>
          </w:p>
        </w:tc>
        <w:tc>
          <w:tcPr>
            <w:tcW w:w="0" w:type="auto"/>
            <w:vAlign w:val="center"/>
            <w:hideMark/>
          </w:tcPr>
          <w:p w14:paraId="1C4873D4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Студенты, работодатели, органы управления</w:t>
            </w:r>
          </w:p>
        </w:tc>
        <w:tc>
          <w:tcPr>
            <w:tcW w:w="0" w:type="auto"/>
            <w:vAlign w:val="center"/>
            <w:hideMark/>
          </w:tcPr>
          <w:p w14:paraId="22905C91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Родители, органы управления дошкольным образованием</w:t>
            </w:r>
          </w:p>
        </w:tc>
      </w:tr>
      <w:tr w:rsidR="005319B7" w:rsidRPr="005319B7" w14:paraId="2F6BB76D" w14:textId="77777777" w:rsidTr="00C73A77">
        <w:trPr>
          <w:trHeight w:val="953"/>
          <w:tblCellSpacing w:w="15" w:type="dxa"/>
        </w:trPr>
        <w:tc>
          <w:tcPr>
            <w:tcW w:w="0" w:type="auto"/>
            <w:vAlign w:val="center"/>
            <w:hideMark/>
          </w:tcPr>
          <w:p w14:paraId="6FB0EA61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b/>
                <w:bCs/>
                <w:lang w:val="ru-UA"/>
              </w:rPr>
              <w:lastRenderedPageBreak/>
              <w:t>Содержание: результаты</w:t>
            </w:r>
          </w:p>
        </w:tc>
        <w:tc>
          <w:tcPr>
            <w:tcW w:w="0" w:type="auto"/>
            <w:vAlign w:val="center"/>
            <w:hideMark/>
          </w:tcPr>
          <w:p w14:paraId="711C77BB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Успеваемость, итоги ГИА, победы в олимпиадах</w:t>
            </w:r>
          </w:p>
        </w:tc>
        <w:tc>
          <w:tcPr>
            <w:tcW w:w="0" w:type="auto"/>
            <w:vAlign w:val="center"/>
            <w:hideMark/>
          </w:tcPr>
          <w:p w14:paraId="6C2A41BC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 xml:space="preserve">Трудоустройство выпускников, участие в </w:t>
            </w:r>
            <w:proofErr w:type="spellStart"/>
            <w:r w:rsidRPr="005319B7">
              <w:rPr>
                <w:lang w:val="ru-UA"/>
              </w:rPr>
              <w:t>WorldSkills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28AC6E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Творческие достижения, развитие навыков</w:t>
            </w:r>
          </w:p>
        </w:tc>
      </w:tr>
      <w:tr w:rsidR="005319B7" w:rsidRPr="005319B7" w14:paraId="0BF9BCCD" w14:textId="77777777" w:rsidTr="00C73A77">
        <w:trPr>
          <w:trHeight w:val="1266"/>
          <w:tblCellSpacing w:w="15" w:type="dxa"/>
        </w:trPr>
        <w:tc>
          <w:tcPr>
            <w:tcW w:w="0" w:type="auto"/>
            <w:vAlign w:val="center"/>
            <w:hideMark/>
          </w:tcPr>
          <w:p w14:paraId="5268A4AB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b/>
                <w:bCs/>
                <w:lang w:val="ru-UA"/>
              </w:rPr>
              <w:t>Содержание: акценты</w:t>
            </w:r>
          </w:p>
        </w:tc>
        <w:tc>
          <w:tcPr>
            <w:tcW w:w="0" w:type="auto"/>
            <w:vAlign w:val="center"/>
            <w:hideMark/>
          </w:tcPr>
          <w:p w14:paraId="13820652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Внеурочная деятельность, патриотическое воспитание</w:t>
            </w:r>
          </w:p>
        </w:tc>
        <w:tc>
          <w:tcPr>
            <w:tcW w:w="0" w:type="auto"/>
            <w:vAlign w:val="center"/>
            <w:hideMark/>
          </w:tcPr>
          <w:p w14:paraId="7E39353A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Практическая подготовка, оснащение мастерских</w:t>
            </w:r>
          </w:p>
        </w:tc>
        <w:tc>
          <w:tcPr>
            <w:tcW w:w="0" w:type="auto"/>
            <w:vAlign w:val="center"/>
            <w:hideMark/>
          </w:tcPr>
          <w:p w14:paraId="73BBF02C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Художественно-эстетическое направление</w:t>
            </w:r>
          </w:p>
        </w:tc>
      </w:tr>
      <w:tr w:rsidR="005319B7" w:rsidRPr="005319B7" w14:paraId="2D2986FB" w14:textId="77777777" w:rsidTr="00C73A77">
        <w:trPr>
          <w:trHeight w:val="1266"/>
          <w:tblCellSpacing w:w="15" w:type="dxa"/>
        </w:trPr>
        <w:tc>
          <w:tcPr>
            <w:tcW w:w="0" w:type="auto"/>
            <w:vAlign w:val="center"/>
            <w:hideMark/>
          </w:tcPr>
          <w:p w14:paraId="06CCBED8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b/>
                <w:bCs/>
                <w:lang w:val="ru-UA"/>
              </w:rPr>
              <w:t>Финансовая отчетность</w:t>
            </w:r>
          </w:p>
        </w:tc>
        <w:tc>
          <w:tcPr>
            <w:tcW w:w="0" w:type="auto"/>
            <w:vAlign w:val="center"/>
            <w:hideMark/>
          </w:tcPr>
          <w:p w14:paraId="77C22B0C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Бюджет, гранты, родительские взносы</w:t>
            </w:r>
          </w:p>
        </w:tc>
        <w:tc>
          <w:tcPr>
            <w:tcW w:w="0" w:type="auto"/>
            <w:vAlign w:val="center"/>
            <w:hideMark/>
          </w:tcPr>
          <w:p w14:paraId="6EFA6F9B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Бюджет, затраты на оборудование</w:t>
            </w:r>
          </w:p>
        </w:tc>
        <w:tc>
          <w:tcPr>
            <w:tcW w:w="0" w:type="auto"/>
            <w:vAlign w:val="center"/>
            <w:hideMark/>
          </w:tcPr>
          <w:p w14:paraId="18987E14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Расходы на питание, безопасность, благоустройство</w:t>
            </w:r>
          </w:p>
        </w:tc>
      </w:tr>
      <w:tr w:rsidR="005319B7" w:rsidRPr="005319B7" w14:paraId="2C75ED34" w14:textId="77777777" w:rsidTr="00C73A77">
        <w:trPr>
          <w:trHeight w:val="640"/>
          <w:tblCellSpacing w:w="15" w:type="dxa"/>
        </w:trPr>
        <w:tc>
          <w:tcPr>
            <w:tcW w:w="0" w:type="auto"/>
            <w:vAlign w:val="center"/>
            <w:hideMark/>
          </w:tcPr>
          <w:p w14:paraId="2D2C0A20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b/>
                <w:bCs/>
                <w:lang w:val="ru-UA"/>
              </w:rPr>
              <w:t>Анализ проблем</w:t>
            </w:r>
          </w:p>
        </w:tc>
        <w:tc>
          <w:tcPr>
            <w:tcW w:w="0" w:type="auto"/>
            <w:vAlign w:val="center"/>
            <w:hideMark/>
          </w:tcPr>
          <w:p w14:paraId="0D8D3748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Ограниченный, формальный</w:t>
            </w:r>
          </w:p>
        </w:tc>
        <w:tc>
          <w:tcPr>
            <w:tcW w:w="0" w:type="auto"/>
            <w:vAlign w:val="center"/>
            <w:hideMark/>
          </w:tcPr>
          <w:p w14:paraId="7D8E8DD5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Умеренный, с учетом рынка труда</w:t>
            </w:r>
          </w:p>
        </w:tc>
        <w:tc>
          <w:tcPr>
            <w:tcW w:w="0" w:type="auto"/>
            <w:vAlign w:val="center"/>
            <w:hideMark/>
          </w:tcPr>
          <w:p w14:paraId="60E42BEC" w14:textId="2085735F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Минимальный</w:t>
            </w:r>
          </w:p>
        </w:tc>
      </w:tr>
      <w:tr w:rsidR="005319B7" w:rsidRPr="005319B7" w14:paraId="2DA4D439" w14:textId="77777777" w:rsidTr="00C73A77">
        <w:trPr>
          <w:trHeight w:val="953"/>
          <w:tblCellSpacing w:w="15" w:type="dxa"/>
        </w:trPr>
        <w:tc>
          <w:tcPr>
            <w:tcW w:w="0" w:type="auto"/>
            <w:vAlign w:val="center"/>
            <w:hideMark/>
          </w:tcPr>
          <w:p w14:paraId="068CA4BF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b/>
                <w:bCs/>
                <w:lang w:val="ru-UA"/>
              </w:rPr>
              <w:t>Специфика</w:t>
            </w:r>
          </w:p>
        </w:tc>
        <w:tc>
          <w:tcPr>
            <w:tcW w:w="0" w:type="auto"/>
            <w:vAlign w:val="center"/>
            <w:hideMark/>
          </w:tcPr>
          <w:p w14:paraId="5C98F7F2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Фокус на стандарты общего образования</w:t>
            </w:r>
          </w:p>
        </w:tc>
        <w:tc>
          <w:tcPr>
            <w:tcW w:w="0" w:type="auto"/>
            <w:vAlign w:val="center"/>
            <w:hideMark/>
          </w:tcPr>
          <w:p w14:paraId="736CE078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Ориентация на профессиональные компетенции</w:t>
            </w:r>
          </w:p>
        </w:tc>
        <w:tc>
          <w:tcPr>
            <w:tcW w:w="0" w:type="auto"/>
            <w:vAlign w:val="center"/>
            <w:hideMark/>
          </w:tcPr>
          <w:p w14:paraId="32EC4877" w14:textId="77777777" w:rsidR="005319B7" w:rsidRPr="005319B7" w:rsidRDefault="005319B7" w:rsidP="005319B7">
            <w:pPr>
              <w:ind w:firstLine="0"/>
              <w:jc w:val="both"/>
              <w:rPr>
                <w:lang w:val="ru-UA"/>
              </w:rPr>
            </w:pPr>
            <w:r w:rsidRPr="005319B7">
              <w:rPr>
                <w:lang w:val="ru-UA"/>
              </w:rPr>
              <w:t>Упор на индивидуальное развитие ребенка</w:t>
            </w:r>
          </w:p>
        </w:tc>
      </w:tr>
    </w:tbl>
    <w:p w14:paraId="4DEEBF7B" w14:textId="77777777" w:rsidR="005319B7" w:rsidRPr="0081388E" w:rsidRDefault="005319B7" w:rsidP="00C73A77">
      <w:pPr>
        <w:ind w:firstLine="0"/>
        <w:jc w:val="both"/>
        <w:rPr>
          <w:lang w:val="ru-UA"/>
        </w:rPr>
      </w:pPr>
    </w:p>
    <w:sectPr w:rsidR="005319B7" w:rsidRPr="0081388E" w:rsidSect="007E3461">
      <w:headerReference w:type="default" r:id="rId11"/>
      <w:pgSz w:w="11906" w:h="16838"/>
      <w:pgMar w:top="1134" w:right="851" w:bottom="1134" w:left="1701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41CE4" w14:textId="77777777" w:rsidR="000170DE" w:rsidRDefault="000170DE" w:rsidP="003F118B">
      <w:r>
        <w:separator/>
      </w:r>
    </w:p>
  </w:endnote>
  <w:endnote w:type="continuationSeparator" w:id="0">
    <w:p w14:paraId="01A4D284" w14:textId="77777777" w:rsidR="000170DE" w:rsidRDefault="000170DE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4A529" w14:textId="77777777" w:rsidR="000170DE" w:rsidRDefault="000170DE" w:rsidP="003F118B">
      <w:r>
        <w:separator/>
      </w:r>
    </w:p>
  </w:footnote>
  <w:footnote w:type="continuationSeparator" w:id="0">
    <w:p w14:paraId="02BC1982" w14:textId="77777777" w:rsidR="000170DE" w:rsidRDefault="000170DE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6020"/>
    <w:multiLevelType w:val="multilevel"/>
    <w:tmpl w:val="01D2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4D8F"/>
    <w:multiLevelType w:val="multilevel"/>
    <w:tmpl w:val="771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55873"/>
    <w:multiLevelType w:val="multilevel"/>
    <w:tmpl w:val="D48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70304"/>
    <w:multiLevelType w:val="multilevel"/>
    <w:tmpl w:val="C7DC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F1923"/>
    <w:multiLevelType w:val="multilevel"/>
    <w:tmpl w:val="2DA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374CE"/>
    <w:multiLevelType w:val="multilevel"/>
    <w:tmpl w:val="83A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35F47"/>
    <w:multiLevelType w:val="multilevel"/>
    <w:tmpl w:val="DF4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27343"/>
    <w:multiLevelType w:val="multilevel"/>
    <w:tmpl w:val="366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5010D"/>
    <w:multiLevelType w:val="multilevel"/>
    <w:tmpl w:val="13D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A77EA"/>
    <w:multiLevelType w:val="multilevel"/>
    <w:tmpl w:val="16DC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A05870"/>
    <w:multiLevelType w:val="multilevel"/>
    <w:tmpl w:val="170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05DAB"/>
    <w:multiLevelType w:val="multilevel"/>
    <w:tmpl w:val="7BE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D1940"/>
    <w:multiLevelType w:val="multilevel"/>
    <w:tmpl w:val="D180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75077"/>
    <w:multiLevelType w:val="multilevel"/>
    <w:tmpl w:val="41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E0B6F"/>
    <w:multiLevelType w:val="multilevel"/>
    <w:tmpl w:val="AA9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2F12B1"/>
    <w:multiLevelType w:val="multilevel"/>
    <w:tmpl w:val="98EA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63BB4"/>
    <w:multiLevelType w:val="multilevel"/>
    <w:tmpl w:val="3640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C86A50"/>
    <w:multiLevelType w:val="multilevel"/>
    <w:tmpl w:val="8C04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1C5FB4"/>
    <w:multiLevelType w:val="multilevel"/>
    <w:tmpl w:val="A9FE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02EE0"/>
    <w:multiLevelType w:val="multilevel"/>
    <w:tmpl w:val="1D82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40760"/>
    <w:multiLevelType w:val="multilevel"/>
    <w:tmpl w:val="36FC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86B65"/>
    <w:multiLevelType w:val="multilevel"/>
    <w:tmpl w:val="A2B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00215"/>
    <w:multiLevelType w:val="multilevel"/>
    <w:tmpl w:val="0C3A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4B57ED"/>
    <w:multiLevelType w:val="multilevel"/>
    <w:tmpl w:val="A93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76779"/>
    <w:multiLevelType w:val="multilevel"/>
    <w:tmpl w:val="A756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315CF"/>
    <w:multiLevelType w:val="multilevel"/>
    <w:tmpl w:val="BA4C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4E48F4"/>
    <w:multiLevelType w:val="multilevel"/>
    <w:tmpl w:val="F2E6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F64C4D"/>
    <w:multiLevelType w:val="multilevel"/>
    <w:tmpl w:val="F944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D7459B"/>
    <w:multiLevelType w:val="multilevel"/>
    <w:tmpl w:val="289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1045DE"/>
    <w:multiLevelType w:val="multilevel"/>
    <w:tmpl w:val="524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A317E1"/>
    <w:multiLevelType w:val="multilevel"/>
    <w:tmpl w:val="AB36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2A4F0F"/>
    <w:multiLevelType w:val="multilevel"/>
    <w:tmpl w:val="4F4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142936"/>
    <w:multiLevelType w:val="multilevel"/>
    <w:tmpl w:val="552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2074C8"/>
    <w:multiLevelType w:val="multilevel"/>
    <w:tmpl w:val="BDE2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753ABA"/>
    <w:multiLevelType w:val="multilevel"/>
    <w:tmpl w:val="553E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A02413"/>
    <w:multiLevelType w:val="multilevel"/>
    <w:tmpl w:val="2D8E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6A7D37"/>
    <w:multiLevelType w:val="multilevel"/>
    <w:tmpl w:val="12EC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CE57A7"/>
    <w:multiLevelType w:val="multilevel"/>
    <w:tmpl w:val="C310E1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C92E3E"/>
    <w:multiLevelType w:val="multilevel"/>
    <w:tmpl w:val="608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13039"/>
    <w:multiLevelType w:val="multilevel"/>
    <w:tmpl w:val="8DC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FB336B"/>
    <w:multiLevelType w:val="multilevel"/>
    <w:tmpl w:val="A78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05291">
    <w:abstractNumId w:val="14"/>
  </w:num>
  <w:num w:numId="2" w16cid:durableId="1864856910">
    <w:abstractNumId w:val="32"/>
  </w:num>
  <w:num w:numId="3" w16cid:durableId="1511680847">
    <w:abstractNumId w:val="17"/>
  </w:num>
  <w:num w:numId="4" w16cid:durableId="533731377">
    <w:abstractNumId w:val="29"/>
  </w:num>
  <w:num w:numId="5" w16cid:durableId="1601059786">
    <w:abstractNumId w:val="37"/>
  </w:num>
  <w:num w:numId="6" w16cid:durableId="1035692533">
    <w:abstractNumId w:val="33"/>
  </w:num>
  <w:num w:numId="7" w16cid:durableId="1495030740">
    <w:abstractNumId w:val="15"/>
  </w:num>
  <w:num w:numId="8" w16cid:durableId="644818646">
    <w:abstractNumId w:val="4"/>
  </w:num>
  <w:num w:numId="9" w16cid:durableId="1087576347">
    <w:abstractNumId w:val="13"/>
  </w:num>
  <w:num w:numId="10" w16cid:durableId="196748004">
    <w:abstractNumId w:val="2"/>
  </w:num>
  <w:num w:numId="11" w16cid:durableId="899054027">
    <w:abstractNumId w:val="28"/>
  </w:num>
  <w:num w:numId="12" w16cid:durableId="314727734">
    <w:abstractNumId w:val="22"/>
  </w:num>
  <w:num w:numId="13" w16cid:durableId="941913365">
    <w:abstractNumId w:val="26"/>
  </w:num>
  <w:num w:numId="14" w16cid:durableId="2066100709">
    <w:abstractNumId w:val="39"/>
  </w:num>
  <w:num w:numId="15" w16cid:durableId="462504527">
    <w:abstractNumId w:val="31"/>
  </w:num>
  <w:num w:numId="16" w16cid:durableId="2031058678">
    <w:abstractNumId w:val="11"/>
  </w:num>
  <w:num w:numId="17" w16cid:durableId="391461435">
    <w:abstractNumId w:val="8"/>
  </w:num>
  <w:num w:numId="18" w16cid:durableId="140705958">
    <w:abstractNumId w:val="20"/>
  </w:num>
  <w:num w:numId="19" w16cid:durableId="1135565589">
    <w:abstractNumId w:val="40"/>
  </w:num>
  <w:num w:numId="20" w16cid:durableId="290672630">
    <w:abstractNumId w:val="1"/>
  </w:num>
  <w:num w:numId="21" w16cid:durableId="176968467">
    <w:abstractNumId w:val="35"/>
  </w:num>
  <w:num w:numId="22" w16cid:durableId="1195652895">
    <w:abstractNumId w:val="21"/>
  </w:num>
  <w:num w:numId="23" w16cid:durableId="1173452129">
    <w:abstractNumId w:val="36"/>
  </w:num>
  <w:num w:numId="24" w16cid:durableId="992298824">
    <w:abstractNumId w:val="30"/>
  </w:num>
  <w:num w:numId="25" w16cid:durableId="788429242">
    <w:abstractNumId w:val="38"/>
  </w:num>
  <w:num w:numId="26" w16cid:durableId="449588343">
    <w:abstractNumId w:val="16"/>
  </w:num>
  <w:num w:numId="27" w16cid:durableId="1092504389">
    <w:abstractNumId w:val="7"/>
  </w:num>
  <w:num w:numId="28" w16cid:durableId="2019691447">
    <w:abstractNumId w:val="34"/>
  </w:num>
  <w:num w:numId="29" w16cid:durableId="135606719">
    <w:abstractNumId w:val="18"/>
  </w:num>
  <w:num w:numId="30" w16cid:durableId="718633761">
    <w:abstractNumId w:val="0"/>
  </w:num>
  <w:num w:numId="31" w16cid:durableId="1291671030">
    <w:abstractNumId w:val="19"/>
  </w:num>
  <w:num w:numId="32" w16cid:durableId="1253124246">
    <w:abstractNumId w:val="5"/>
  </w:num>
  <w:num w:numId="33" w16cid:durableId="806625475">
    <w:abstractNumId w:val="25"/>
  </w:num>
  <w:num w:numId="34" w16cid:durableId="1932737801">
    <w:abstractNumId w:val="12"/>
  </w:num>
  <w:num w:numId="35" w16cid:durableId="21441956">
    <w:abstractNumId w:val="23"/>
  </w:num>
  <w:num w:numId="36" w16cid:durableId="161513443">
    <w:abstractNumId w:val="24"/>
  </w:num>
  <w:num w:numId="37" w16cid:durableId="974682498">
    <w:abstractNumId w:val="9"/>
  </w:num>
  <w:num w:numId="38" w16cid:durableId="727069164">
    <w:abstractNumId w:val="6"/>
  </w:num>
  <w:num w:numId="39" w16cid:durableId="166944670">
    <w:abstractNumId w:val="10"/>
  </w:num>
  <w:num w:numId="40" w16cid:durableId="104541155">
    <w:abstractNumId w:val="3"/>
  </w:num>
  <w:num w:numId="41" w16cid:durableId="411973756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170DE"/>
    <w:rsid w:val="00054C23"/>
    <w:rsid w:val="0005575A"/>
    <w:rsid w:val="000770BE"/>
    <w:rsid w:val="000A1160"/>
    <w:rsid w:val="000B3EF9"/>
    <w:rsid w:val="000D53BE"/>
    <w:rsid w:val="000F20C4"/>
    <w:rsid w:val="001244E0"/>
    <w:rsid w:val="0015447B"/>
    <w:rsid w:val="00164BDA"/>
    <w:rsid w:val="00176AEF"/>
    <w:rsid w:val="001872BF"/>
    <w:rsid w:val="00195857"/>
    <w:rsid w:val="001A5DAB"/>
    <w:rsid w:val="001D0ECD"/>
    <w:rsid w:val="001D343E"/>
    <w:rsid w:val="001D6496"/>
    <w:rsid w:val="001D7FE6"/>
    <w:rsid w:val="002069C7"/>
    <w:rsid w:val="00221C9A"/>
    <w:rsid w:val="002562EB"/>
    <w:rsid w:val="00271016"/>
    <w:rsid w:val="00276331"/>
    <w:rsid w:val="002903B9"/>
    <w:rsid w:val="002950BF"/>
    <w:rsid w:val="002C0E33"/>
    <w:rsid w:val="002F2353"/>
    <w:rsid w:val="002F4132"/>
    <w:rsid w:val="00303CF0"/>
    <w:rsid w:val="00307D45"/>
    <w:rsid w:val="003161D5"/>
    <w:rsid w:val="00365B64"/>
    <w:rsid w:val="003769EF"/>
    <w:rsid w:val="00395FAF"/>
    <w:rsid w:val="003C19AF"/>
    <w:rsid w:val="003E00F5"/>
    <w:rsid w:val="003E1D51"/>
    <w:rsid w:val="003E6D54"/>
    <w:rsid w:val="003F118B"/>
    <w:rsid w:val="00402409"/>
    <w:rsid w:val="004167A9"/>
    <w:rsid w:val="004466EB"/>
    <w:rsid w:val="00455129"/>
    <w:rsid w:val="00474359"/>
    <w:rsid w:val="00495C13"/>
    <w:rsid w:val="004A2429"/>
    <w:rsid w:val="004F439E"/>
    <w:rsid w:val="004F6428"/>
    <w:rsid w:val="00504A2F"/>
    <w:rsid w:val="00507FFA"/>
    <w:rsid w:val="005319B7"/>
    <w:rsid w:val="00537751"/>
    <w:rsid w:val="00543084"/>
    <w:rsid w:val="00544F51"/>
    <w:rsid w:val="00547B5A"/>
    <w:rsid w:val="0056776E"/>
    <w:rsid w:val="00575445"/>
    <w:rsid w:val="00593684"/>
    <w:rsid w:val="005A1E87"/>
    <w:rsid w:val="005B7049"/>
    <w:rsid w:val="005C6EF8"/>
    <w:rsid w:val="005D046B"/>
    <w:rsid w:val="005D71F4"/>
    <w:rsid w:val="005E7EAE"/>
    <w:rsid w:val="005F328C"/>
    <w:rsid w:val="00624CD4"/>
    <w:rsid w:val="006270C9"/>
    <w:rsid w:val="006305F3"/>
    <w:rsid w:val="0063783E"/>
    <w:rsid w:val="0065128B"/>
    <w:rsid w:val="006927C5"/>
    <w:rsid w:val="006A7DC1"/>
    <w:rsid w:val="006B1DBE"/>
    <w:rsid w:val="006C176B"/>
    <w:rsid w:val="006C196B"/>
    <w:rsid w:val="006D7A6B"/>
    <w:rsid w:val="006F072C"/>
    <w:rsid w:val="007219C1"/>
    <w:rsid w:val="00721E79"/>
    <w:rsid w:val="007279B9"/>
    <w:rsid w:val="00742889"/>
    <w:rsid w:val="00746D34"/>
    <w:rsid w:val="007470D0"/>
    <w:rsid w:val="00762A9B"/>
    <w:rsid w:val="0076510F"/>
    <w:rsid w:val="0077761E"/>
    <w:rsid w:val="00784F96"/>
    <w:rsid w:val="00786031"/>
    <w:rsid w:val="007873B1"/>
    <w:rsid w:val="007D4ECB"/>
    <w:rsid w:val="007D5690"/>
    <w:rsid w:val="007E3461"/>
    <w:rsid w:val="0080236D"/>
    <w:rsid w:val="00802593"/>
    <w:rsid w:val="00803CCF"/>
    <w:rsid w:val="0081388E"/>
    <w:rsid w:val="00815D75"/>
    <w:rsid w:val="00817131"/>
    <w:rsid w:val="00825D18"/>
    <w:rsid w:val="00827A36"/>
    <w:rsid w:val="008327CF"/>
    <w:rsid w:val="00834491"/>
    <w:rsid w:val="00850076"/>
    <w:rsid w:val="00850F34"/>
    <w:rsid w:val="0085349D"/>
    <w:rsid w:val="008622EB"/>
    <w:rsid w:val="008750AB"/>
    <w:rsid w:val="00875936"/>
    <w:rsid w:val="008A55C6"/>
    <w:rsid w:val="008C211E"/>
    <w:rsid w:val="008C4153"/>
    <w:rsid w:val="008F2CFC"/>
    <w:rsid w:val="008F6BEE"/>
    <w:rsid w:val="00910CE1"/>
    <w:rsid w:val="00921043"/>
    <w:rsid w:val="009308E3"/>
    <w:rsid w:val="00930EC5"/>
    <w:rsid w:val="00960354"/>
    <w:rsid w:val="00960684"/>
    <w:rsid w:val="0098340A"/>
    <w:rsid w:val="00992643"/>
    <w:rsid w:val="00993DF6"/>
    <w:rsid w:val="009947C4"/>
    <w:rsid w:val="009C0B0E"/>
    <w:rsid w:val="009C2AB5"/>
    <w:rsid w:val="009C52B7"/>
    <w:rsid w:val="009D4907"/>
    <w:rsid w:val="009D51E8"/>
    <w:rsid w:val="00A14362"/>
    <w:rsid w:val="00A22079"/>
    <w:rsid w:val="00A256F4"/>
    <w:rsid w:val="00A2622D"/>
    <w:rsid w:val="00A7026F"/>
    <w:rsid w:val="00A80C5C"/>
    <w:rsid w:val="00A94B8C"/>
    <w:rsid w:val="00AB3B6D"/>
    <w:rsid w:val="00AD47AA"/>
    <w:rsid w:val="00AF40EF"/>
    <w:rsid w:val="00AF473C"/>
    <w:rsid w:val="00B10D9D"/>
    <w:rsid w:val="00B225FD"/>
    <w:rsid w:val="00B5555A"/>
    <w:rsid w:val="00B6630D"/>
    <w:rsid w:val="00B73EF2"/>
    <w:rsid w:val="00BB15FD"/>
    <w:rsid w:val="00BB17CD"/>
    <w:rsid w:val="00BB2104"/>
    <w:rsid w:val="00BE089E"/>
    <w:rsid w:val="00BE1F07"/>
    <w:rsid w:val="00C41BCD"/>
    <w:rsid w:val="00C4642E"/>
    <w:rsid w:val="00C73A77"/>
    <w:rsid w:val="00C861E2"/>
    <w:rsid w:val="00C93AA9"/>
    <w:rsid w:val="00C95255"/>
    <w:rsid w:val="00CF441D"/>
    <w:rsid w:val="00CF4F13"/>
    <w:rsid w:val="00CF7127"/>
    <w:rsid w:val="00D06797"/>
    <w:rsid w:val="00D113A0"/>
    <w:rsid w:val="00D1247A"/>
    <w:rsid w:val="00D2204E"/>
    <w:rsid w:val="00D22C80"/>
    <w:rsid w:val="00D52683"/>
    <w:rsid w:val="00D60EC4"/>
    <w:rsid w:val="00D72663"/>
    <w:rsid w:val="00D9357F"/>
    <w:rsid w:val="00DA36A2"/>
    <w:rsid w:val="00DA6ACF"/>
    <w:rsid w:val="00DB4F9A"/>
    <w:rsid w:val="00DC3E3D"/>
    <w:rsid w:val="00DD79BA"/>
    <w:rsid w:val="00E06F1F"/>
    <w:rsid w:val="00E36C88"/>
    <w:rsid w:val="00E502B4"/>
    <w:rsid w:val="00E5337B"/>
    <w:rsid w:val="00E72EB4"/>
    <w:rsid w:val="00E94EFF"/>
    <w:rsid w:val="00EA75BB"/>
    <w:rsid w:val="00EC4A63"/>
    <w:rsid w:val="00ED49D1"/>
    <w:rsid w:val="00ED6957"/>
    <w:rsid w:val="00EF4639"/>
    <w:rsid w:val="00EF463D"/>
    <w:rsid w:val="00EF70D8"/>
    <w:rsid w:val="00F3502F"/>
    <w:rsid w:val="00F5047B"/>
    <w:rsid w:val="00FB354E"/>
    <w:rsid w:val="00FC67AF"/>
    <w:rsid w:val="00FD1C32"/>
    <w:rsid w:val="00FD6E34"/>
    <w:rsid w:val="00FE12BA"/>
    <w:rsid w:val="00FE430D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character" w:customStyle="1" w:styleId="ds-markdown-cite">
    <w:name w:val="ds-markdown-cite"/>
    <w:basedOn w:val="a0"/>
    <w:rsid w:val="004466EB"/>
  </w:style>
  <w:style w:type="character" w:styleId="af1">
    <w:name w:val="FollowedHyperlink"/>
    <w:basedOn w:val="a0"/>
    <w:uiPriority w:val="99"/>
    <w:semiHidden/>
    <w:unhideWhenUsed/>
    <w:rsid w:val="000F2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3.org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1kruf.tvoysadik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pkolleg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6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140</cp:revision>
  <dcterms:created xsi:type="dcterms:W3CDTF">2024-06-03T15:24:00Z</dcterms:created>
  <dcterms:modified xsi:type="dcterms:W3CDTF">2025-03-18T15:24:00Z</dcterms:modified>
</cp:coreProperties>
</file>