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media/image3.svg" ContentType="image/sv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lineRule="auto" w:line="360" w:before="0" w:after="40"/>
        <w:rPr>
          <w:rFonts w:ascii="Times New Roman" w:hAnsi="Times New Roman" w:cs="Times New Roman"/>
        </w:rPr>
      </w:pPr>
      <w:bookmarkStart w:id="16" w:name="__RefHeading___Toc555_3003181911"/>
      <w:bookmarkStart w:id="17" w:name="_Toc233700150"/>
      <w:bookmarkStart w:id="18" w:name="_Toc233700874"/>
      <w:bookmarkEnd w:id="16"/>
      <w:r>
        <w:rPr>
          <w:rFonts w:eastAsia="Times New Roman" w:cs="Times New Roman" w:ascii="Times New Roman" w:hAnsi="Times New Roman"/>
          <w:b/>
          <w:bCs/>
          <w:sz w:val="32"/>
          <w:szCs w:val="32"/>
        </w:rPr>
        <w:t>Introduction</w:t>
      </w:r>
      <w:bookmarkEnd w:id="17"/>
      <w:bookmarkEnd w:id="18"/>
    </w:p>
    <w:p>
      <w:pPr>
        <w:pStyle w:val="Normal"/>
        <w:spacing w:lineRule="auto" w:line="360" w:before="0" w:after="120"/>
        <w:jc w:val="both"/>
        <w:rPr/>
      </w:pPr>
      <w:r>
        <w:rPr>
          <w:rFonts w:eastAsia="Times New Roman"/>
          <w:szCs w:val="24"/>
        </w:rPr>
        <w:t>Global cybercrime damages are estimated at USD 10.5 trillion annually as of 2025, projected to reach USD 15.63 trillion by 2029. Small and Medium Enterprises bear disproportionate exposure. The Verizon 2025 Data Breach Investigations Report recorded organisations with fewer than 1,000 employees experiencing 88% of ransomware incidents, with social engineering and phishing representing the dominant initial access vector. Within emerging economies, the problem is compounded by the absence of dedicated security personnel and limited budget allocation for awareness training. Nepal is not insulated from this trend. The country reported 18,926 cybercrime incidents in financial year 2024 to 2025 alone, the majority targeting individuals and small business employees through phishing, financial fraud, and social engineering rather than technical infrastructure attacks.</w:t>
      </w:r>
    </w:p>
    <w:p>
      <w:pPr>
        <w:pStyle w:val="Normal"/>
        <w:spacing w:lineRule="auto" w:line="360" w:before="0" w:after="120"/>
        <w:jc w:val="both"/>
        <w:rPr/>
      </w:pPr>
      <w:r>
        <w:rPr>
          <w:rFonts w:eastAsia="Times New Roman"/>
          <w:szCs w:val="24"/>
        </w:rPr>
        <w:t>The human element remains implicated in approximately 68% of confirmed data breaches globally, yet most commercially available security awareness platforms were designed for enterprise contexts with dedicated security teams, English-language workforces, and recurring subscription budgets that Kathmandu Valley Small and Medium Enterprises cannot sustain. Generic awareness training that presents identical content to all employees regardless of their behavioural risk profile has been shown to produce negligible retention gains beyond six weeks post-training. Security awareness programme effectiveness is further undermined when training content lacks contextual relevance to the specific threats employees encounter in their daily roles. Platforms that do offer adaptive features, such as KnowBe4 and CybSafe, are priced exclusively for enterprise licensing and offer no localisation for Nepali threat contexts, Nepali-language UI, or alignment with Nepal’s Individual Privacy Act 2075. This creates a systemic gap: the employees most targeted by social engineering attacks are the least served by the tools designed to protect them.</w:t>
      </w:r>
    </w:p>
    <w:p>
      <w:pPr>
        <w:pStyle w:val="Normal"/>
        <w:spacing w:lineRule="auto" w:line="360" w:before="0" w:after="120"/>
        <w:jc w:val="both"/>
        <w:rPr/>
      </w:pPr>
      <w:r>
        <w:rPr>
          <w:rFonts w:eastAsia="Times New Roman"/>
          <w:szCs w:val="24"/>
        </w:rPr>
        <w:t>The problem this research addresses is therefore both technical and structural: how to design an adaptive, explainable, locally contextualised cybersecurity awareness platform that operates within the resource, regulatory, and linguistic constraints of the Kathmandu Valley SME environment. This thesis presents AHRID, the Adaptive Human-Risk Intelligence Dashboard, a cybersecurity awareness training platform designed specifically for non-technical Small and Medium Enterprise staff in Kathmandu Valley. AHRID combines live threat intelligence ingestion from Open-Source Intelligence feeds with a dual-component machine learning pipeline: K-Means clustering discovers five stable behavioural archetypes from employee interaction logs, and Random Forest classification assigns real-time risk tiers from a 14-feature behavioural vector in which the cluster label serves as an input feature. SHAP TreeExplainer attribution translates probabilistic risk scores into plain-language explanations accessible to non-specialist users. The platform was developed using a five-phase, fifteen-sprint Agile methodology aligned with Design Science Research principles and evaluated against a rule-based baseline, achieving 91.4% classification accuracy, a macro F1 score of 0.8878, and a 52.24 percentage-point improvement over the baseline F1 of 0.3653.</w:t>
      </w:r>
    </w:p>
    <w:p>
      <w:pPr>
        <w:pStyle w:val="Heading1"/>
        <w:spacing w:lineRule="auto" w:line="360" w:before="0" w:after="40"/>
        <w:rPr>
          <w:rFonts w:ascii="Times New Roman" w:hAnsi="Times New Roman" w:cs="Times New Roman"/>
        </w:rPr>
      </w:pPr>
      <w:bookmarkStart w:id="19" w:name="__RefHeading___Toc557_3003181911"/>
      <w:bookmarkStart w:id="20" w:name="_Toc233700151"/>
      <w:bookmarkStart w:id="21" w:name="_Toc233700875"/>
      <w:bookmarkEnd w:id="19"/>
      <w:r>
        <w:rPr>
          <w:rFonts w:eastAsia="Times New Roman" w:cs="Times New Roman" w:ascii="Times New Roman" w:hAnsi="Times New Roman"/>
          <w:b/>
          <w:bCs/>
          <w:sz w:val="32"/>
          <w:szCs w:val="32"/>
        </w:rPr>
        <w:t>Problem Context and Motivation</w:t>
      </w:r>
      <w:bookmarkEnd w:id="20"/>
      <w:bookmarkEnd w:id="21"/>
    </w:p>
    <w:p>
      <w:pPr>
        <w:pStyle w:val="Normal"/>
        <w:spacing w:lineRule="auto" w:line="360" w:before="0" w:after="120"/>
        <w:jc w:val="both"/>
        <w:rPr/>
      </w:pPr>
      <w:r>
        <w:rPr>
          <w:rFonts w:eastAsia="Times New Roman"/>
          <w:szCs w:val="24"/>
        </w:rPr>
        <w:t>Security awareness practices within Kathmandu Valley Small and Medium Enterprises exhibit three structural deficiencies that existing platforms fail to address. First, limited information technology budgets preclude enterprise licensing: KnowBe4 and CybSafe operate on per-seat annual subscription models averaging USD 15 to 40 per user, a cost level inaccessible to most Nepali Small and Medium Enterprises employing ten to fifty staff. Second, the absence of dedicated security personnel means that training defaults to general-purpose staff without specialised expertise, producing content that is generic rather than role-targeted. Third, and most critically, non-technical roles constitute the primary attack surface: phishing campaigns and vishing attacks are designed to exploit cognitive vulnerabilities in employees unfamiliar with cybersecurity concepts, yet existing platforms assume a degree of baseline literacy that this population does not possess. Impulsivity and internet addiction are significantly associated with risky cybersecurity behaviours independently of general security attitudes, and Nepali Small and Medium Enterprises commonly lack formalised security policies, leaving employees relying on informal peer advice rather than structured guidance.</w:t>
      </w:r>
    </w:p>
    <w:p>
      <w:pPr>
        <w:pStyle w:val="Normal"/>
        <w:spacing w:lineRule="auto" w:line="360" w:before="0" w:after="120"/>
        <w:jc w:val="both"/>
        <w:rPr/>
      </w:pPr>
      <w:r>
        <w:rPr>
          <w:rFonts w:eastAsia="Times New Roman"/>
          <w:szCs w:val="24"/>
        </w:rPr>
        <w:t>This research addresses the absence of structured, locally contextualised, evidence-based human-risk tools for this context. Nepal’s cybersecurity incident volume has grown substantially alongside rapid mobile internet adoption, yet academic literature on human-risk management in Nepali Small and Medium Enterprise contexts remains sparse. By combining live Open-Source Intelligence threat intelligence from Phishing.Database and AlienVault OTX with behavioural machine learning and Protection Motivation Theory-grounded adaptive scenario delivery, AHRID provides a data-driven alternative to generic awareness approaches. Workman demonstrates that social engineering susceptibility is reducible through targeted, behaviour-specific interventions rather than general awareness campaigns alone. Open-Source Intelligence provides a cost-effective, automatable mechanism for maintaining current threat context without proprietary subscriptions. Machine learning applied to behavioural cybersecurity data can surface patterns invisible to static rule-based approaches. The platform converges computer science, behavioural psychology, and organisational risk management to address a problem that is simultaneously technical, cognitive, and structural. Crucially, it is designed to operate within the resource, regulatory, and linguistic constraints of the Kathmandu Valley Small and Medium Enterprise environment rather than retrofitting an enterprise solution to an incompatible context.</w:t>
      </w:r>
    </w:p>
    <w:p>
      <w:pPr>
        <w:pStyle w:val="Normal"/>
        <w:spacing w:before="0" w:after="160" w:line="360" w:lineRule="auto"/>
        <w:jc w:val="both"/>
      </w:pPr>
      <w:r>
        <w:t xml:space="preserve">Addressing this problem requires convergence across three disciplines: computer science contributes ensemble classification, clustering, and model explainability; behavioural psychology contributes Protection Motivation Theory, Prospect Theory, and cognitive bias research explaining why individuals fail to adopt protective behaviours despite threat awareness; and organisational risk management contributes role-based access control and ethical governance ensuring automated risk scoring serves employee development rather than covert surveillance. AHRID operationalises this interdisciplinary convergence.</w:t>
      </w:r>
    </w:p>
    <w:p>
      <w:pPr>
        <w:pStyle w:val="Heading1"/>
        <w:spacing w:lineRule="auto" w:line="360" w:before="0" w:after="40"/>
        <w:rPr>
          <w:rFonts w:ascii="Times New Roman" w:hAnsi="Times New Roman" w:cs="Times New Roman"/>
          <w:sz w:val="32"/>
          <w:szCs w:val="32"/>
        </w:rPr>
      </w:pPr>
      <w:bookmarkStart w:id="22" w:name="__RefHeading___Toc559_3003181911"/>
      <w:bookmarkStart w:id="23" w:name="_Toc233700152"/>
      <w:bookmarkStart w:id="24" w:name="_Toc233700876"/>
      <w:bookmarkEnd w:id="22"/>
      <w:r>
        <w:rPr>
          <w:rFonts w:eastAsia="Times New Roman" w:cs="Times New Roman" w:ascii="Times New Roman" w:hAnsi="Times New Roman"/>
          <w:b/>
          <w:bCs/>
          <w:sz w:val="28"/>
          <w:szCs w:val="28"/>
        </w:rPr>
        <w:t>Cybersecurity Theories and Behavioural Factors in Security Decision-Making</w:t>
      </w:r>
      <w:bookmarkEnd w:id="23"/>
      <w:bookmarkEnd w:id="24"/>
    </w:p>
    <w:p>
      <w:pPr>
        <w:pStyle w:val="Normal"/>
        <w:spacing w:lineRule="auto" w:line="360" w:before="0" w:after="120"/>
        <w:jc w:val="both"/>
        <w:rPr/>
      </w:pPr>
      <w:r>
        <w:rPr>
          <w:rFonts w:eastAsia="Times New Roman"/>
          <w:szCs w:val="24"/>
        </w:rPr>
        <w:t>The theoretical foundations underpinning AHRID serve as design constraints rather than background literature: each framework was selected because it maps directly to a concrete architectural decision. Theory is not decoration here. Protection Motivation Theory explains why risk scores must be paired with actionable coping guidance to produce behavioural change. Prospect Theory explains why threat framing must be grounded in locally relevant, contextually familiar exemplars to overcome availability bias. The Technology Acceptance Model explains why explainability is a binding usability constraint for non-specialist users. Alternative frameworks, including the Health Belief Model and Deterrence Theory, were considered but excluded because they address general threat perception and compliance rather than the specific mechanisms through which adaptive training systems produce individual behavioural change. The compliance budget concept also informed the AHRID governance model: employees have finite cognitive capacity for security tasks, and systems that impose excessive compliance burden reduce adoption regardless of perceived usefulness.</w:t>
      </w:r>
    </w:p>
    <w:p>
      <w:pPr>
        <w:pStyle w:val="Normal"/>
        <w:spacing w:lineRule="auto" w:line="360" w:before="0" w:after="120"/>
        <w:jc w:val="both"/>
        <w:rPr/>
      </w:pPr>
      <w:r>
        <w:rPr>
          <w:rFonts w:eastAsia="Times New Roman"/>
          <w:szCs w:val="24"/>
        </w:rPr>
        <w:t>Protection Motivation Theory, proposed by Rogers and subsequently validated in information security contexts, argues that protective behaviour is jointly determined by two independent appraisal processes. Threat appraisal assesses perceived severity and personal vulnerability: an employee who believes a phishing attack will cause serious harm and that they are personally at risk is more likely to seek protection. Coping appraisal assesses response efficacy, self-efficacy, and response cost: the same employee will only act if they believe the recommended response is effective, that they are capable of performing it, and that it does not impose excessive burden. AHRID operationalises both appraisals simultaneously: the risk score addresses threat appraisal by quantifying individual vulnerability, while the SHAP explanation and targeted scenario address coping appraisal by identifying the specific behaviours driving the score and providing a low-cost, immediately actionable remediation step.</w:t>
      </w:r>
    </w:p>
    <w:p>
      <w:pPr>
        <w:pStyle w:val="Normal"/>
        <w:spacing w:lineRule="auto" w:line="360" w:before="0" w:after="120"/>
        <w:jc w:val="both"/>
        <w:rPr/>
      </w:pPr>
      <w:r>
        <w:rPr>
          <w:rFonts w:eastAsia="Times New Roman"/>
          <w:szCs w:val="24"/>
        </w:rPr>
        <w:t>Prospect Theory identifies three cognitive biases with direct cybersecurity relevance. Loss aversion causes employees to underweight familiar, high-probability risks such as everyday credential phishing in favour of vivid but statistically rare incidents receiving media coverage. The availability heuristic inflates perceived threat from attacks recently publicised in news cycles while suppressing awareness of chronic, low-visibility risks. Confirmation bias leads employees to selectively attend to security information that confirms existing mental models, dismissing guidance that challenges established habits. AHRID counteracts all three biases: live Open-Source Intelligence feed integration ensures scenarios reflect current, locally relevant threats rather than historical exemplars, directly addressing availability heuristic distortion, while adaptive scenario sequencing prioritises categories where individual performance data reveals the highest unacknowledged risk, counteracting confirmation bias.</w:t>
      </w:r>
    </w:p>
    <w:p>
      <w:pPr>
        <w:pStyle w:val="Normal"/>
        <w:spacing w:lineRule="auto" w:line="360" w:before="0" w:after="120"/>
        <w:jc w:val="both"/>
        <w:rPr/>
      </w:pPr>
      <w:r>
        <w:rPr>
          <w:rFonts w:eastAsia="Times New Roman"/>
          <w:szCs w:val="24"/>
        </w:rPr>
        <w:t>The Technology Acceptance Model, extended in the Unified Theory of Acceptance and Use of Technology, identifies perceived usefulness and perceived ease of use as the primary determinants of voluntary technology adoption. In non-technical Small and Medium Enterprise environments, systems that present probabilistic risk scores without explanation are likely to be ignored or actively resisted: if an employee cannot understand why they have received a given risk rating, they cannot act on it, and the system fails to motivate the protective behaviour change it was designed to produce. Wogalter et al. established that warnings are acted upon only when they are understood; this finding generalises directly to automated risk score communication in non-technical employee contexts. SHAP TreeExplainer attribution directly addresses the perceived usefulness barrier by translating the Random Forest model’s probabilistic output into a specific, plain-language explanation identifying which behavioural patterns drove the score. Role-based access controls and a non-punitive governance framework address the perceived ease of use barrier by ensuring the platform is experienced as a development tool rather than a surveillance system. Research confirms that employees exposed to punitive security monitoring exhibit reduced compliance compared to those in transparent, non-punitive environments.</w:t>
      </w:r>
    </w:p>
    <w:p>
      <w:pPr>
        <w:pStyle w:val="Heading1"/>
        <w:spacing w:lineRule="auto" w:line="360" w:before="0" w:after="40"/>
        <w:rPr>
          <w:rFonts w:ascii="Times New Roman" w:hAnsi="Times New Roman" w:cs="Times New Roman"/>
        </w:rPr>
      </w:pPr>
      <w:bookmarkStart w:id="25" w:name="__RefHeading___Toc561_3003181911"/>
      <w:bookmarkStart w:id="26" w:name="_Toc233700153"/>
      <w:bookmarkStart w:id="27" w:name="_Toc233700877"/>
      <w:bookmarkEnd w:id="25"/>
      <w:r>
        <w:rPr>
          <w:rFonts w:eastAsia="Times New Roman" w:cs="Times New Roman" w:ascii="Times New Roman" w:hAnsi="Times New Roman"/>
          <w:b/>
          <w:bCs/>
          <w:sz w:val="32"/>
          <w:szCs w:val="32"/>
        </w:rPr>
        <w:t>Integration of Machine Learning in Cybersecurity</w:t>
      </w:r>
      <w:bookmarkEnd w:id="26"/>
      <w:bookmarkEnd w:id="27"/>
    </w:p>
    <w:p>
      <w:pPr>
        <w:pStyle w:val="Normal"/>
        <w:spacing w:lineRule="auto" w:line="360" w:before="0" w:after="120"/>
        <w:jc w:val="both"/>
        <w:rPr/>
      </w:pPr>
      <w:r>
        <w:rPr>
          <w:rFonts w:eastAsia="Times New Roman"/>
          <w:szCs w:val="24"/>
        </w:rPr>
        <w:t>Machine learning has demonstrated effectiveness across domains sharing structural characteristics with cybersecurity human-risk assessment. Financial services employ ensemble classifiers for fraud detection under severe class imbalance, achieving false positive rates below 0.1% while maintaining recall above 90%. Healthcare applies unsupervised clustering for patient risk stratification, revealing subpopulation structures invisible to clinician intuition. Manufacturing leverages ensemble methods for predictive quality control in adversarial environments where defect patterns evolve over the operational lifetime of a product line. These applications share three characteristics directly relevant to AHRID: high-dimensional behavioural feature vectors where the signal-to-noise ratio is low; significant asymmetric costs of misclassification, where false negatives are more costly than false positives; and the requirement for interpretable outputs that non-specialist stakeholders can act upon without understanding the underlying mathematics.</w:t>
      </w:r>
    </w:p>
    <w:p>
      <w:pPr>
        <w:pStyle w:val="Normal"/>
        <w:spacing w:lineRule="auto" w:line="360" w:before="0" w:after="120"/>
        <w:jc w:val="both"/>
        <w:rPr/>
      </w:pPr>
      <w:r>
        <w:rPr>
          <w:rFonts w:eastAsia="Times New Roman"/>
          <w:szCs w:val="24"/>
        </w:rPr>
        <w:t>Within cybersecurity, machine learning adoption has concentrated on infrastructure threats rather than human behavioural signals. Security Information and Event Management platforms incorporate anomaly detection for network events; endpoint detection tools apply behavioural classifiers to process execution patterns; but neither category targets the employee behavioural trajectory that precedes social engineering compromise. AHRID addresses this gap through a novel dual-component architecture in which K-Means clustering first discovers five stable behavioural archetypes from unlabelled employee interaction logs across eight scenario categories. The resulting cluster label is then passed as an explicit input feature to a Random Forest classifier, which assigns a three-tier risk score from a 14-element behavioural vector. This design choice, which encodes long-run archetype membership alongside instantaneous scenario performance, produced a 52.24 percentage-point improvement in macro F1 score over a rule-based baseline in evaluations conducted on synthetic behavioural data calibrated to plausible Kathmandu Valley Small and Medium Enterprise usage patterns. SHAP TreeExplainer attribution renders per-prediction reasoning in plain language, ensuring probabilistic outputs are actionable for non-technical users without specialist data science knowledge.</w:t>
      </w:r>
    </w:p>
    <w:p>
      <w:pPr>
        <w:pStyle w:val="Normal"/>
        <w:spacing w:before="0" w:after="160" w:line="360" w:lineRule="auto"/>
        <w:jc w:val="both"/>
      </w:pPr>
      <w:r>
        <w:t xml:space="preserve">AHRID employs a dual-component ML architecture. The supervised component uses a Random Forest classifier, selected over XGBoost and SVM for three reasons: robust performance on class-imbalanced behavioural data, native feature importance rankings supporting SHAP explainability, and resistance to overfitting on moderate-sized SME datasets. Class imbalance in the three-tier risk labels is addressed using SMOTE, which generates synthetic minority-class samples in feature space rather than duplicating existing records. The unsupervised component uses K-Means clustering, chosen over HDBSCAN for superior interpretability with non-technical stakeholders. Cluster membership feeds into the Random Forest as an input feature, forming a hybrid pipeline. Implementation uses scikit-learn 1.4. SHAP TreeExplainer provides per-prediction attribution, translating each risk assessment into plain-language factors.</w:t>
      </w:r>
    </w:p>
    <w:p>
      <w:pPr>
        <w:pStyle w:val="Heading1"/>
        <w:spacing w:lineRule="auto" w:line="360" w:before="0" w:after="40"/>
        <w:rPr>
          <w:rFonts w:ascii="Times New Roman" w:hAnsi="Times New Roman" w:cs="Times New Roman"/>
        </w:rPr>
      </w:pPr>
      <w:bookmarkStart w:id="28" w:name="__RefHeading___Toc563_3003181911"/>
      <w:bookmarkStart w:id="29" w:name="_Toc233700154"/>
      <w:bookmarkStart w:id="30" w:name="_Toc233700878"/>
      <w:bookmarkEnd w:id="28"/>
      <w:r>
        <w:rPr>
          <w:rFonts w:eastAsia="Times New Roman" w:cs="Times New Roman" w:ascii="Times New Roman" w:hAnsi="Times New Roman"/>
          <w:b/>
          <w:bCs/>
          <w:sz w:val="32"/>
          <w:szCs w:val="32"/>
        </w:rPr>
        <w:t>Research Aim</w:t>
      </w:r>
      <w:bookmarkEnd w:id="29"/>
      <w:bookmarkEnd w:id="30"/>
    </w:p>
    <w:p>
      <w:pPr>
        <w:pStyle w:val="Normal"/>
        <w:spacing w:lineRule="auto" w:line="360" w:before="0" w:after="120"/>
        <w:jc w:val="both"/>
        <w:rPr/>
      </w:pPr>
      <w:r>
        <w:rPr>
          <w:rFonts w:eastAsia="Times New Roman"/>
          <w:szCs w:val="24"/>
        </w:rPr>
        <w:t>The primary aim of this research is to design, develop, and evaluate the Adaptive Human-Risk Intelligence Dashboard: a cybersecurity awareness training platform that integrates live Open-Source Intelligence threat intelligence with behavioural machine learning to deliver personalised, explainable risk assessments and adaptive training scenarios to non-technical Small and Medium Enterprise employees in Kathmandu Valley, Nepal. This aim is operationalised through five interconnected sub-components:</w:t>
      </w:r>
    </w:p>
    <w:p>
      <w:pPr>
        <w:pStyle w:val="ListParagraph"/>
        <w:numPr>
          <w:ilvl w:val="0"/>
          <w:numId w:val="1"/>
        </w:numPr>
        <w:spacing w:lineRule="auto" w:line="360" w:before="0" w:after="60"/>
        <w:contextualSpacing/>
        <w:rPr/>
      </w:pPr>
      <w:r>
        <w:rPr>
          <w:rFonts w:eastAsia="Times New Roman"/>
          <w:szCs w:val="24"/>
        </w:rPr>
        <w:t>Analysing the cybersecurity threat landscape and evaluating existing human-risk platforms to identify the specific capability gaps that AHRID is designed to address.</w:t>
      </w:r>
    </w:p>
    <w:p>
      <w:pPr>
        <w:pStyle w:val="ListParagraph"/>
        <w:numPr>
          <w:ilvl w:val="0"/>
          <w:numId w:val="1"/>
        </w:numPr>
        <w:spacing w:lineRule="auto" w:line="360" w:before="0" w:after="60"/>
        <w:contextualSpacing/>
        <w:rPr/>
      </w:pPr>
      <w:r>
        <w:rPr>
          <w:rFonts w:eastAsia="Times New Roman"/>
          <w:szCs w:val="24"/>
        </w:rPr>
        <w:t>Investigating publicly accessible Open-Source Intelligence sources and integrating live phishing and malicious URL feeds into adaptive scenario content generation.</w:t>
      </w:r>
    </w:p>
    <w:p>
      <w:pPr>
        <w:pStyle w:val="ListParagraph"/>
        <w:numPr>
          <w:ilvl w:val="0"/>
          <w:numId w:val="1"/>
        </w:numPr>
        <w:spacing w:lineRule="auto" w:line="360" w:before="0" w:after="60"/>
        <w:contextualSpacing/>
        <w:rPr/>
      </w:pPr>
      <w:r>
        <w:rPr>
          <w:rFonts w:eastAsia="Times New Roman"/>
          <w:szCs w:val="24"/>
        </w:rPr>
        <w:t>Exploring machine learning techniques for behavioural risk classification, unsupervised archetype discovery, and per-prediction explainability in non-technical user contexts.</w:t>
      </w:r>
    </w:p>
    <w:p>
      <w:pPr>
        <w:pStyle w:val="ListParagraph"/>
        <w:numPr>
          <w:ilvl w:val="0"/>
          <w:numId w:val="1"/>
        </w:numPr>
        <w:spacing w:lineRule="auto" w:line="360" w:before="0" w:after="60"/>
        <w:contextualSpacing/>
        <w:rPr/>
      </w:pPr>
      <w:r>
        <w:rPr>
          <w:rFonts w:eastAsia="Times New Roman"/>
          <w:szCs w:val="24"/>
        </w:rPr>
        <w:t>Designing, developing, and technically evaluating AHRID through a five-phase, fifteen-sprint Agile methodology aligned with Design Science Research principles.</w:t>
      </w:r>
    </w:p>
    <w:p>
      <w:pPr>
        <w:pStyle w:val="ListParagraph"/>
        <w:numPr>
          <w:ilvl w:val="0"/>
          <w:numId w:val="1"/>
        </w:numPr>
        <w:spacing w:lineRule="auto" w:line="360" w:before="0" w:after="60"/>
        <w:contextualSpacing/>
        <w:rPr/>
      </w:pPr>
      <w:r>
        <w:rPr>
          <w:rFonts w:eastAsia="Times New Roman"/>
          <w:szCs w:val="24"/>
        </w:rPr>
        <w:t>Evaluating platform effectiveness through pre-test and post-test security awareness assessment, documenting ethical obligations, and submitting a comprehensive academic thesis.</w:t>
      </w:r>
    </w:p>
    <w:p>
      <w:pPr>
        <w:pStyle w:val="Heading1"/>
        <w:spacing w:lineRule="auto" w:line="360" w:before="0" w:after="40"/>
        <w:rPr>
          <w:rFonts w:ascii="Times New Roman" w:hAnsi="Times New Roman" w:cs="Times New Roman"/>
        </w:rPr>
      </w:pPr>
      <w:bookmarkStart w:id="31" w:name="__RefHeading___Toc565_3003181911"/>
      <w:bookmarkStart w:id="32" w:name="_Toc233700155"/>
      <w:bookmarkStart w:id="33" w:name="_Toc233700879"/>
      <w:bookmarkEnd w:id="31"/>
      <w:r>
        <w:rPr>
          <w:rFonts w:eastAsia="Times New Roman" w:cs="Times New Roman" w:ascii="Times New Roman" w:hAnsi="Times New Roman"/>
          <w:b/>
          <w:bCs/>
          <w:sz w:val="32"/>
          <w:szCs w:val="32"/>
        </w:rPr>
        <w:t>Research Objectives</w:t>
      </w:r>
      <w:bookmarkEnd w:id="32"/>
      <w:bookmarkEnd w:id="33"/>
    </w:p>
    <w:p>
      <w:pPr>
        <w:pStyle w:val="Normal"/>
        <w:spacing w:lineRule="auto" w:line="360"/>
        <w:jc w:val="both"/>
        <w:rPr/>
      </w:pPr>
      <w:r>
        <w:rPr>
          <w:rFonts w:eastAsia="Times New Roman"/>
          <w:szCs w:val="24"/>
        </w:rPr>
        <w:t>The following objectives operationalise the research aim. Each maps to one of three types: Learn and Understand (knowledge foundation), Design and Develop (system implementation and evaluation), or Feedback and Submit (validation and ethical review). Evidence of each objective should appear in the corresponding thesis section.</w:t>
      </w:r>
    </w:p>
    <w:p>
      <w:pPr>
        <w:pStyle w:val="Normal"/>
        <w:spacing w:before="100" w:after="100" w:line="360" w:lineRule="auto"/>
        <w:ind w:left="400" w:hanging="400"/>
        <w:jc w:val="both"/>
      </w:pPr>
      <w:r>
        <w:rPr>
          <w:b/>
        </w:rPr>
        <w:t xml:space="preserve">1.</w:t>
      </w:r>
      <w:r>
        <w:t xml:space="preserve">  Analyse the cybersecurity threat landscape for non-technical SME staff in Kathmandu Valley and examine existing human-risk platforms (CybSafe, KnowBe4, Hoxhunt), identifying cognitive vulnerabilities, social engineering vectors, and gaps in live threat integration and explainability.</w:t>
      </w:r>
      <w:r>
        <w:rPr>
          <w:i/>
          <w:color w:val="2e5fa3"/>
        </w:rPr>
        <w:t xml:space="preserve"> [Learn &amp; Understand]</w:t>
      </w:r>
    </w:p>
    <w:p>
      <w:pPr>
        <w:pStyle w:val="Normal"/>
        <w:spacing w:before="100" w:after="100" w:line="360" w:lineRule="auto"/>
        <w:ind w:left="400" w:hanging="400"/>
        <w:jc w:val="both"/>
      </w:pPr>
      <w:r>
        <w:rPr>
          <w:b/>
        </w:rPr>
        <w:t xml:space="preserve">2.</w:t>
      </w:r>
      <w:r>
        <w:t xml:space="preserve">  Investigate OSINT threat intelligence sources (Phishing.Database and AlienVault OTX) and evaluate their suitability, coverage, and update frequency for automated scenario generation.</w:t>
      </w:r>
      <w:r>
        <w:rPr>
          <w:i/>
          <w:color w:val="2e5fa3"/>
        </w:rPr>
        <w:t xml:space="preserve"> [Learn &amp; Understand]</w:t>
      </w:r>
    </w:p>
    <w:p>
      <w:pPr>
        <w:pStyle w:val="Normal"/>
        <w:spacing w:before="100" w:after="100" w:line="360" w:lineRule="auto"/>
        <w:ind w:left="400" w:hanging="400"/>
        <w:jc w:val="both"/>
      </w:pPr>
      <w:r>
        <w:rPr>
          <w:b/>
        </w:rPr>
        <w:t xml:space="preserve">3.</w:t>
      </w:r>
      <w:r>
        <w:t xml:space="preserve">  Explore machine learning techniques applicable to behavioural risk classification and clustering, including ensemble methods, unsupervised archetype discovery, class imbalance handling, and model explainability frameworks.</w:t>
      </w:r>
      <w:r>
        <w:rPr>
          <w:i/>
          <w:color w:val="2e5fa3"/>
        </w:rPr>
        <w:t xml:space="preserve"> [Learn &amp; Understand]</w:t>
      </w:r>
    </w:p>
    <w:p>
      <w:pPr>
        <w:pStyle w:val="Normal"/>
        <w:spacing w:before="100" w:after="100" w:line="360" w:lineRule="auto"/>
        <w:ind w:left="400" w:hanging="400"/>
        <w:jc w:val="both"/>
      </w:pPr>
      <w:r>
        <w:rPr>
          <w:b/>
        </w:rPr>
        <w:t xml:space="preserve">4.</w:t>
      </w:r>
      <w:r>
        <w:t xml:space="preserve">  Design, develop, and technically evaluate AHRID by integrating live threat ingestion with a Random Forest classifier, K-Means clustering, and SHAP explainability, assessing performance against a rule-based baseline through F1-score, PR-AUC, and Cohen's Kappa.</w:t>
      </w:r>
      <w:r>
        <w:rPr>
          <w:i/>
          <w:color w:val="2e5fa3"/>
        </w:rPr>
        <w:t xml:space="preserve"> [Design &amp; Develop]</w:t>
      </w:r>
    </w:p>
    <w:p>
      <w:pPr>
        <w:pStyle w:val="Normal"/>
        <w:spacing w:before="100" w:after="100" w:line="360" w:lineRule="auto"/>
        <w:ind w:left="400" w:hanging="400"/>
        <w:jc w:val="both"/>
      </w:pPr>
      <w:r>
        <w:rPr>
          <w:b/>
        </w:rPr>
        <w:t xml:space="preserve">5.</w:t>
      </w:r>
      <w:r>
        <w:t xml:space="preserve">  Evaluate AHRID's effectiveness through security awareness pre/post assessment and usability testing (SUS), and examine the ethical implications of automated behavioural risk scoring, documenting governance recommendations under Nepal's Individual Privacy Act 2075.</w:t>
      </w:r>
      <w:r>
        <w:rPr>
          <w:i/>
          <w:color w:val="2e5fa3"/>
        </w:rPr>
        <w:t xml:space="preserve"> [Feedback &amp; Submit]</w:t>
      </w:r>
    </w:p>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9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DejaVu Sans" w:cs="Times New Roman" w:eastAsiaTheme="minorEastAsia"/>
        <w:sz w:val="24"/>
        <w:szCs w:val="21"/>
        <w:lang w:val="en-US" w:eastAsia="zh-CN" w:bidi="hi-IN"/>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05a18"/>
    <w:pPr>
      <w:widowControl/>
      <w:suppressAutoHyphens w:val="false"/>
      <w:bidi w:val="0"/>
      <w:spacing w:lineRule="auto" w:line="264" w:before="0" w:after="120"/>
      <w:jc w:val="start"/>
    </w:pPr>
    <w:rPr>
      <w:rFonts w:ascii="Times New Roman" w:hAnsi="Times New Roman" w:eastAsia="DejaVu Sans" w:cs="Times New Roman" w:eastAsiaTheme="minorEastAsia"/>
      <w:color w:val="auto"/>
      <w:kern w:val="0"/>
      <w:sz w:val="24"/>
      <w:szCs w:val="21"/>
      <w:lang w:val="en-US" w:eastAsia="zh-CN" w:bidi="hi-IN"/>
    </w:rPr>
  </w:style>
  <w:style w:type="paragraph" w:styleId="Heading1">
    <w:name w:val="heading 1"/>
    <w:basedOn w:val="Normal"/>
    <w:next w:val="Normal"/>
    <w:link w:val="Heading1Char"/>
    <w:uiPriority w:val="9"/>
    <w:qFormat/>
    <w:rsid w:val="00a05a18"/>
    <w:pPr>
      <w:keepNext w:val="true"/>
      <w:keepLines/>
      <w:pBdr>
        <w:bottom w:val="single" w:sz="4" w:space="1" w:color="0F6FC6" w:themeColor="accent1"/>
      </w:pBdr>
      <w:spacing w:lineRule="auto" w:line="240" w:before="400" w:after="40"/>
      <w:outlineLvl w:val="0"/>
    </w:pPr>
    <w:rPr>
      <w:rFonts w:ascii="Arial" w:hAnsi="Arial" w:eastAsia="DejaVu Sans" w:cs="DejaVu Sans" w:asciiTheme="majorHAnsi" w:cstheme="majorBidi" w:eastAsiaTheme="majorEastAsia" w:hAnsiTheme="majorHAnsi"/>
      <w:color w:themeColor="accent1" w:themeShade="bf" w:val="0B5294"/>
      <w:sz w:val="36"/>
      <w:szCs w:val="36"/>
    </w:rPr>
  </w:style>
  <w:style w:type="paragraph" w:styleId="Heading2">
    <w:name w:val="heading 2"/>
    <w:basedOn w:val="Normal"/>
    <w:next w:val="Normal"/>
    <w:link w:val="Heading2Char"/>
    <w:uiPriority w:val="9"/>
    <w:unhideWhenUsed/>
    <w:qFormat/>
    <w:rsid w:val="00a05a18"/>
    <w:pPr>
      <w:keepNext w:val="true"/>
      <w:keepLines/>
      <w:spacing w:lineRule="auto" w:line="240" w:before="160" w:after="0"/>
      <w:outlineLvl w:val="1"/>
    </w:pPr>
    <w:rPr>
      <w:rFonts w:ascii="Arial" w:hAnsi="Arial" w:eastAsia="DejaVu Sans" w:cs="DejaVu Sans" w:asciiTheme="majorHAnsi" w:cstheme="majorBidi" w:eastAsiaTheme="majorEastAsia" w:hAnsiTheme="majorHAnsi"/>
      <w:color w:themeColor="accent1" w:themeShade="bf" w:val="0B5294"/>
      <w:sz w:val="28"/>
      <w:szCs w:val="28"/>
    </w:rPr>
  </w:style>
  <w:style w:type="paragraph" w:styleId="Heading3">
    <w:name w:val="heading 3"/>
    <w:basedOn w:val="Normal"/>
    <w:next w:val="Normal"/>
    <w:link w:val="Heading3Char"/>
    <w:uiPriority w:val="9"/>
    <w:semiHidden/>
    <w:unhideWhenUsed/>
    <w:qFormat/>
    <w:rsid w:val="00a05a18"/>
    <w:pPr>
      <w:keepNext w:val="true"/>
      <w:keepLines/>
      <w:spacing w:lineRule="auto" w:line="240" w:before="80" w:after="0"/>
      <w:outlineLvl w:val="2"/>
    </w:pPr>
    <w:rPr>
      <w:rFonts w:ascii="Arial" w:hAnsi="Arial" w:eastAsia="DejaVu Sans" w:cs="DejaVu Sans" w:asciiTheme="majorHAnsi" w:cstheme="majorBidi" w:eastAsiaTheme="majorEastAsia" w:hAnsiTheme="majorHAnsi"/>
      <w:color w:themeColor="text1" w:themeTint="bf" w:val="404040"/>
      <w:sz w:val="26"/>
      <w:szCs w:val="26"/>
    </w:rPr>
  </w:style>
  <w:style w:type="paragraph" w:styleId="Heading4">
    <w:name w:val="heading 4"/>
    <w:basedOn w:val="Normal"/>
    <w:next w:val="Normal"/>
    <w:link w:val="Heading4Char"/>
    <w:uiPriority w:val="9"/>
    <w:semiHidden/>
    <w:unhideWhenUsed/>
    <w:qFormat/>
    <w:rsid w:val="00a05a18"/>
    <w:pPr>
      <w:keepNext w:val="true"/>
      <w:keepLines/>
      <w:spacing w:before="80" w:after="0"/>
      <w:outlineLvl w:val="3"/>
    </w:pPr>
    <w:rPr>
      <w:rFonts w:ascii="Arial" w:hAnsi="Arial" w:eastAsia="DejaVu Sans" w:cs="DejaVu Sans" w:asciiTheme="majorHAnsi" w:cstheme="majorBidi" w:eastAsiaTheme="majorEastAsia" w:hAnsiTheme="majorHAnsi"/>
      <w:szCs w:val="24"/>
    </w:rPr>
  </w:style>
  <w:style w:type="paragraph" w:styleId="Heading5">
    <w:name w:val="heading 5"/>
    <w:basedOn w:val="Normal"/>
    <w:next w:val="Normal"/>
    <w:link w:val="Heading5Char"/>
    <w:uiPriority w:val="9"/>
    <w:semiHidden/>
    <w:unhideWhenUsed/>
    <w:qFormat/>
    <w:rsid w:val="00a05a18"/>
    <w:pPr>
      <w:keepNext w:val="true"/>
      <w:keepLines/>
      <w:spacing w:before="80" w:after="0"/>
      <w:outlineLvl w:val="4"/>
    </w:pPr>
    <w:rPr>
      <w:rFonts w:ascii="Arial" w:hAnsi="Arial" w:eastAsia="DejaVu Sans" w:cs="DejaVu Sans" w:asciiTheme="majorHAnsi" w:cstheme="majorBidi" w:eastAsiaTheme="majorEastAsia" w:hAnsiTheme="majorHAnsi"/>
      <w:i/>
      <w:iCs/>
      <w:sz w:val="22"/>
      <w:szCs w:val="22"/>
    </w:rPr>
  </w:style>
  <w:style w:type="paragraph" w:styleId="Heading6">
    <w:name w:val="heading 6"/>
    <w:basedOn w:val="Normal"/>
    <w:next w:val="Normal"/>
    <w:link w:val="Heading6Char"/>
    <w:uiPriority w:val="9"/>
    <w:semiHidden/>
    <w:unhideWhenUsed/>
    <w:qFormat/>
    <w:rsid w:val="00a05a18"/>
    <w:pPr>
      <w:keepNext w:val="true"/>
      <w:keepLines/>
      <w:spacing w:before="80" w:after="0"/>
      <w:outlineLvl w:val="5"/>
    </w:pPr>
    <w:rPr>
      <w:rFonts w:ascii="Arial" w:hAnsi="Arial" w:eastAsia="DejaVu Sans" w:cs="DejaVu Sans" w:asciiTheme="majorHAnsi" w:cstheme="majorBidi" w:eastAsiaTheme="majorEastAsia" w:hAnsiTheme="majorHAnsi"/>
      <w:color w:themeColor="text1" w:themeTint="a6" w:val="595959"/>
    </w:rPr>
  </w:style>
  <w:style w:type="paragraph" w:styleId="Heading7">
    <w:name w:val="heading 7"/>
    <w:basedOn w:val="Normal"/>
    <w:next w:val="Normal"/>
    <w:link w:val="Heading7Char"/>
    <w:uiPriority w:val="9"/>
    <w:semiHidden/>
    <w:unhideWhenUsed/>
    <w:qFormat/>
    <w:rsid w:val="00a05a18"/>
    <w:pPr>
      <w:keepNext w:val="true"/>
      <w:keepLines/>
      <w:spacing w:before="80" w:after="0"/>
      <w:outlineLvl w:val="6"/>
    </w:pPr>
    <w:rPr>
      <w:rFonts w:ascii="Arial" w:hAnsi="Arial" w:eastAsia="DejaVu Sans" w:cs="DejaVu Sans" w:asciiTheme="majorHAnsi" w:cstheme="majorBidi" w:eastAsiaTheme="majorEastAsia" w:hAnsiTheme="majorHAnsi"/>
      <w:i/>
      <w:iCs/>
      <w:color w:themeColor="text1" w:themeTint="a6" w:val="595959"/>
    </w:rPr>
  </w:style>
  <w:style w:type="paragraph" w:styleId="Heading8">
    <w:name w:val="heading 8"/>
    <w:basedOn w:val="Normal"/>
    <w:next w:val="Normal"/>
    <w:link w:val="Heading8Char"/>
    <w:uiPriority w:val="9"/>
    <w:semiHidden/>
    <w:unhideWhenUsed/>
    <w:qFormat/>
    <w:rsid w:val="00a05a18"/>
    <w:pPr>
      <w:keepNext w:val="true"/>
      <w:keepLines/>
      <w:spacing w:before="80" w:after="0"/>
      <w:outlineLvl w:val="7"/>
    </w:pPr>
    <w:rPr>
      <w:rFonts w:ascii="Arial" w:hAnsi="Arial" w:eastAsia="DejaVu Sans" w:cs="DejaVu Sans" w:asciiTheme="majorHAnsi" w:cstheme="majorBidi" w:eastAsiaTheme="majorEastAsia" w:hAnsiTheme="majorHAnsi"/>
      <w:smallCaps/>
      <w:color w:themeColor="text1" w:themeTint="a6" w:val="595959"/>
    </w:rPr>
  </w:style>
  <w:style w:type="paragraph" w:styleId="Heading9">
    <w:name w:val="heading 9"/>
    <w:basedOn w:val="Normal"/>
    <w:next w:val="Normal"/>
    <w:link w:val="Heading9Char"/>
    <w:uiPriority w:val="9"/>
    <w:semiHidden/>
    <w:unhideWhenUsed/>
    <w:qFormat/>
    <w:rsid w:val="00a05a18"/>
    <w:pPr>
      <w:keepNext w:val="true"/>
      <w:keepLines/>
      <w:spacing w:before="80" w:after="0"/>
      <w:outlineLvl w:val="8"/>
    </w:pPr>
    <w:rPr>
      <w:rFonts w:ascii="Arial" w:hAnsi="Arial" w:eastAsia="DejaVu Sans" w:cs="DejaVu Sans" w:asciiTheme="majorHAnsi" w:cstheme="majorBidi" w:eastAsiaTheme="majorEastAsia" w:hAnsiTheme="majorHAnsi"/>
      <w:i/>
      <w:iCs/>
      <w:smallCaps/>
      <w:color w:themeColor="text1" w:themeTint="a6" w:val="595959"/>
    </w:rPr>
  </w:style>
  <w:style w:type="character" w:styleId="DefaultParagraphFont" w:default="1">
    <w:name w:val="Default Paragraph Font"/>
    <w:uiPriority w:val="1"/>
    <w:semiHidden/>
    <w:unhideWhenUsed/>
    <w:qFormat/>
    <w:rPr/>
  </w:style>
  <w:style w:type="character" w:styleId="Hyperlink">
    <w:name w:val="Hyperlink"/>
    <w:uiPriority w:val="99"/>
    <w:unhideWhenUsed/>
    <w:rPr>
      <w:color w:val="0563C1"/>
      <w:u w:val="single"/>
    </w:rPr>
  </w:style>
  <w:style w:type="character" w:styleId="FootnoteCharacters" w:customStyle="1">
    <w:name w:val="Footnote Characters"/>
    <w:uiPriority w:val="99"/>
    <w:semiHidden/>
    <w:unhideWhenUsed/>
    <w:qFormat/>
    <w:rPr>
      <w:vertAlign w:val="superscript"/>
    </w:rPr>
  </w:style>
  <w:style w:type="character" w:styleId="FootnoteCharactersuser">
    <w:name w:val="Footnote Characters (user)"/>
    <w:qFormat/>
    <w:rPr>
      <w:vertAlign w:val="superscript"/>
    </w:rPr>
  </w:style>
  <w:style w:type="character" w:styleId="FootnoteReference">
    <w:name w:val="footnote reference"/>
    <w:rPr>
      <w:vertAlign w:val="superscript"/>
    </w:rPr>
  </w:style>
  <w:style w:type="character" w:styleId="FootnoteTextChar" w:customStyle="1">
    <w:name w:val="Footnote Text Char"/>
    <w:link w:val="FootnoteText"/>
    <w:uiPriority w:val="99"/>
    <w:semiHidden/>
    <w:unhideWhenUsed/>
    <w:qFormat/>
    <w:rPr>
      <w:sz w:val="20"/>
      <w:szCs w:val="20"/>
    </w:rPr>
  </w:style>
  <w:style w:type="character" w:styleId="EndnoteCharacters" w:customStyle="1">
    <w:name w:val="Endnote Characters"/>
    <w:uiPriority w:val="99"/>
    <w:semiHidden/>
    <w:unhideWhenUsed/>
    <w:qFormat/>
    <w:rPr>
      <w:vertAlign w:val="superscript"/>
    </w:rPr>
  </w:style>
  <w:style w:type="character" w:styleId="EndnoteCharactersuser">
    <w:name w:val="Endnote Characters (user)"/>
    <w:qFormat/>
    <w:rPr>
      <w:vertAlign w:val="superscript"/>
    </w:rPr>
  </w:style>
  <w:style w:type="character" w:styleId="EndnoteReference">
    <w:name w:val="endnote reference"/>
    <w:rPr>
      <w:vertAlign w:val="superscript"/>
    </w:rPr>
  </w:style>
  <w:style w:type="character" w:styleId="EndnoteTextChar" w:customStyle="1">
    <w:name w:val="Endnote Text Char"/>
    <w:link w:val="EndnoteText"/>
    <w:uiPriority w:val="99"/>
    <w:semiHidden/>
    <w:unhideWhenUsed/>
    <w:qFormat/>
    <w:rPr>
      <w:sz w:val="20"/>
      <w:szCs w:val="20"/>
    </w:rPr>
  </w:style>
  <w:style w:type="character" w:styleId="Heading1Char" w:customStyle="1">
    <w:name w:val="Heading 1 Char"/>
    <w:basedOn w:val="DefaultParagraphFont"/>
    <w:link w:val="Heading1"/>
    <w:uiPriority w:val="9"/>
    <w:qFormat/>
    <w:rsid w:val="00a05a18"/>
    <w:rPr>
      <w:rFonts w:ascii="Arial" w:hAnsi="Arial" w:eastAsia="DejaVu Sans" w:cs="DejaVu Sans" w:asciiTheme="majorHAnsi" w:cstheme="majorBidi" w:eastAsiaTheme="majorEastAsia" w:hAnsiTheme="majorHAnsi"/>
      <w:color w:themeColor="accent1" w:themeShade="bf" w:val="0B5294"/>
      <w:sz w:val="36"/>
      <w:szCs w:val="36"/>
    </w:rPr>
  </w:style>
  <w:style w:type="character" w:styleId="Heading2Char" w:customStyle="1">
    <w:name w:val="Heading 2 Char"/>
    <w:basedOn w:val="DefaultParagraphFont"/>
    <w:link w:val="Heading2"/>
    <w:uiPriority w:val="9"/>
    <w:qFormat/>
    <w:rsid w:val="00a05a18"/>
    <w:rPr>
      <w:rFonts w:ascii="Arial" w:hAnsi="Arial" w:eastAsia="DejaVu Sans" w:cs="DejaVu Sans" w:asciiTheme="majorHAnsi" w:cstheme="majorBidi" w:eastAsiaTheme="majorEastAsia" w:hAnsiTheme="majorHAnsi"/>
      <w:color w:themeColor="accent1" w:themeShade="bf" w:val="0B5294"/>
      <w:sz w:val="28"/>
      <w:szCs w:val="28"/>
    </w:rPr>
  </w:style>
  <w:style w:type="character" w:styleId="Heading3Char" w:customStyle="1">
    <w:name w:val="Heading 3 Char"/>
    <w:basedOn w:val="DefaultParagraphFont"/>
    <w:link w:val="Heading3"/>
    <w:uiPriority w:val="9"/>
    <w:semiHidden/>
    <w:qFormat/>
    <w:rsid w:val="00a05a18"/>
    <w:rPr>
      <w:rFonts w:ascii="Arial" w:hAnsi="Arial" w:eastAsia="DejaVu Sans" w:cs="DejaVu Sans" w:asciiTheme="majorHAnsi" w:cstheme="majorBidi" w:eastAsiaTheme="majorEastAsia" w:hAnsiTheme="majorHAnsi"/>
      <w:color w:themeColor="text1" w:themeTint="bf" w:val="404040"/>
      <w:sz w:val="26"/>
      <w:szCs w:val="26"/>
    </w:rPr>
  </w:style>
  <w:style w:type="character" w:styleId="Heading4Char" w:customStyle="1">
    <w:name w:val="Heading 4 Char"/>
    <w:basedOn w:val="DefaultParagraphFont"/>
    <w:link w:val="Heading4"/>
    <w:uiPriority w:val="9"/>
    <w:semiHidden/>
    <w:qFormat/>
    <w:rsid w:val="00a05a18"/>
    <w:rPr>
      <w:rFonts w:ascii="Arial" w:hAnsi="Arial" w:eastAsia="DejaVu Sans" w:cs="DejaVu Sans" w:asciiTheme="majorHAnsi" w:cstheme="majorBidi" w:eastAsiaTheme="majorEastAsia" w:hAnsiTheme="majorHAnsi"/>
      <w:sz w:val="24"/>
      <w:szCs w:val="24"/>
    </w:rPr>
  </w:style>
  <w:style w:type="character" w:styleId="Heading5Char" w:customStyle="1">
    <w:name w:val="Heading 5 Char"/>
    <w:basedOn w:val="DefaultParagraphFont"/>
    <w:link w:val="Heading5"/>
    <w:uiPriority w:val="9"/>
    <w:semiHidden/>
    <w:qFormat/>
    <w:rsid w:val="00a05a18"/>
    <w:rPr>
      <w:rFonts w:ascii="Arial" w:hAnsi="Arial" w:eastAsia="DejaVu Sans" w:cs="DejaVu Sans" w:asciiTheme="majorHAnsi" w:cstheme="majorBidi" w:eastAsiaTheme="majorEastAsia" w:hAnsiTheme="majorHAnsi"/>
      <w:i/>
      <w:iCs/>
      <w:sz w:val="22"/>
      <w:szCs w:val="22"/>
    </w:rPr>
  </w:style>
  <w:style w:type="character" w:styleId="Heading6Char" w:customStyle="1">
    <w:name w:val="Heading 6 Char"/>
    <w:basedOn w:val="DefaultParagraphFont"/>
    <w:link w:val="Heading6"/>
    <w:uiPriority w:val="9"/>
    <w:semiHidden/>
    <w:qFormat/>
    <w:rsid w:val="00a05a18"/>
    <w:rPr>
      <w:rFonts w:ascii="Arial" w:hAnsi="Arial" w:eastAsia="DejaVu Sans" w:cs="DejaVu Sans" w:asciiTheme="majorHAnsi" w:cstheme="majorBidi" w:eastAsiaTheme="majorEastAsia" w:hAnsiTheme="majorHAnsi"/>
      <w:color w:themeColor="text1" w:themeTint="a6" w:val="595959"/>
    </w:rPr>
  </w:style>
  <w:style w:type="character" w:styleId="Heading7Char" w:customStyle="1">
    <w:name w:val="Heading 7 Char"/>
    <w:basedOn w:val="DefaultParagraphFont"/>
    <w:link w:val="Heading7"/>
    <w:uiPriority w:val="9"/>
    <w:semiHidden/>
    <w:qFormat/>
    <w:rsid w:val="00a05a18"/>
    <w:rPr>
      <w:rFonts w:ascii="Arial" w:hAnsi="Arial" w:eastAsia="DejaVu Sans" w:cs="DejaVu Sans" w:asciiTheme="majorHAnsi" w:cstheme="majorBidi" w:eastAsiaTheme="majorEastAsia" w:hAnsiTheme="majorHAnsi"/>
      <w:i/>
      <w:iCs/>
      <w:color w:themeColor="text1" w:themeTint="a6" w:val="595959"/>
    </w:rPr>
  </w:style>
  <w:style w:type="character" w:styleId="Heading8Char" w:customStyle="1">
    <w:name w:val="Heading 8 Char"/>
    <w:basedOn w:val="DefaultParagraphFont"/>
    <w:link w:val="Heading8"/>
    <w:uiPriority w:val="9"/>
    <w:semiHidden/>
    <w:qFormat/>
    <w:rsid w:val="00a05a18"/>
    <w:rPr>
      <w:rFonts w:ascii="Arial" w:hAnsi="Arial" w:eastAsia="DejaVu Sans" w:cs="DejaVu Sans" w:asciiTheme="majorHAnsi" w:cstheme="majorBidi" w:eastAsiaTheme="majorEastAsia" w:hAnsiTheme="majorHAnsi"/>
      <w:smallCaps/>
      <w:color w:themeColor="text1" w:themeTint="a6" w:val="595959"/>
    </w:rPr>
  </w:style>
  <w:style w:type="character" w:styleId="Heading9Char" w:customStyle="1">
    <w:name w:val="Heading 9 Char"/>
    <w:basedOn w:val="DefaultParagraphFont"/>
    <w:link w:val="Heading9"/>
    <w:uiPriority w:val="9"/>
    <w:semiHidden/>
    <w:qFormat/>
    <w:rsid w:val="00a05a18"/>
    <w:rPr>
      <w:rFonts w:ascii="Arial" w:hAnsi="Arial" w:eastAsia="DejaVu Sans" w:cs="DejaVu Sans" w:asciiTheme="majorHAnsi" w:cstheme="majorBidi" w:eastAsiaTheme="majorEastAsia" w:hAnsiTheme="majorHAnsi"/>
      <w:i/>
      <w:iCs/>
      <w:smallCaps/>
      <w:color w:themeColor="text1" w:themeTint="a6" w:val="595959"/>
    </w:rPr>
  </w:style>
  <w:style w:type="character" w:styleId="TitleChar" w:customStyle="1">
    <w:name w:val="Title Char"/>
    <w:basedOn w:val="DefaultParagraphFont"/>
    <w:link w:val="Title"/>
    <w:uiPriority w:val="10"/>
    <w:qFormat/>
    <w:rsid w:val="00a05a18"/>
    <w:rPr>
      <w:rFonts w:ascii="Arial" w:hAnsi="Arial" w:eastAsia="DejaVu Sans" w:cs="DejaVu Sans" w:asciiTheme="majorHAnsi" w:cstheme="majorBidi" w:eastAsiaTheme="majorEastAsia" w:hAnsiTheme="majorHAnsi"/>
      <w:color w:themeColor="accent1" w:themeShade="bf" w:val="0B5294"/>
      <w:spacing w:val="-7"/>
      <w:sz w:val="80"/>
      <w:szCs w:val="80"/>
    </w:rPr>
  </w:style>
  <w:style w:type="character" w:styleId="SubtitleChar" w:customStyle="1">
    <w:name w:val="Subtitle Char"/>
    <w:basedOn w:val="DefaultParagraphFont"/>
    <w:link w:val="Subtitle"/>
    <w:uiPriority w:val="11"/>
    <w:qFormat/>
    <w:rsid w:val="00a05a18"/>
    <w:rPr>
      <w:rFonts w:ascii="Arial" w:hAnsi="Arial" w:eastAsia="DejaVu Sans" w:cs="DejaVu Sans" w:asciiTheme="majorHAnsi" w:cstheme="majorBidi" w:eastAsiaTheme="majorEastAsia" w:hAnsiTheme="majorHAnsi"/>
      <w:color w:themeColor="text1" w:themeTint="bf" w:val="404040"/>
      <w:sz w:val="30"/>
      <w:szCs w:val="30"/>
    </w:rPr>
  </w:style>
  <w:style w:type="character" w:styleId="Strong">
    <w:name w:val="Strong"/>
    <w:basedOn w:val="DefaultParagraphFont"/>
    <w:uiPriority w:val="22"/>
    <w:qFormat/>
    <w:rsid w:val="00a05a18"/>
    <w:rPr>
      <w:b/>
      <w:bCs/>
    </w:rPr>
  </w:style>
  <w:style w:type="character" w:styleId="Emphasis">
    <w:name w:val="Emphasis"/>
    <w:basedOn w:val="DefaultParagraphFont"/>
    <w:uiPriority w:val="20"/>
    <w:qFormat/>
    <w:rsid w:val="00a05a18"/>
    <w:rPr>
      <w:i/>
      <w:iCs/>
    </w:rPr>
  </w:style>
  <w:style w:type="character" w:styleId="QuoteChar" w:customStyle="1">
    <w:name w:val="Quote Char"/>
    <w:basedOn w:val="DefaultParagraphFont"/>
    <w:link w:val="Quote"/>
    <w:uiPriority w:val="29"/>
    <w:qFormat/>
    <w:rsid w:val="00a05a18"/>
    <w:rPr>
      <w:i/>
      <w:iCs/>
    </w:rPr>
  </w:style>
  <w:style w:type="character" w:styleId="IntenseQuoteChar" w:customStyle="1">
    <w:name w:val="Intense Quote Char"/>
    <w:basedOn w:val="DefaultParagraphFont"/>
    <w:link w:val="IntenseQuote"/>
    <w:uiPriority w:val="30"/>
    <w:qFormat/>
    <w:rsid w:val="00a05a18"/>
    <w:rPr>
      <w:rFonts w:ascii="Arial" w:hAnsi="Arial" w:eastAsia="DejaVu Sans" w:cs="DejaVu Sans" w:asciiTheme="majorHAnsi" w:cstheme="majorBidi" w:eastAsiaTheme="majorEastAsia" w:hAnsiTheme="majorHAnsi"/>
      <w:color w:themeColor="accent1" w:val="0F6FC6"/>
      <w:sz w:val="28"/>
      <w:szCs w:val="28"/>
    </w:rPr>
  </w:style>
  <w:style w:type="character" w:styleId="SubtleEmphasis">
    <w:name w:val="Subtle Emphasis"/>
    <w:basedOn w:val="DefaultParagraphFont"/>
    <w:uiPriority w:val="19"/>
    <w:qFormat/>
    <w:rsid w:val="00a05a18"/>
    <w:rPr>
      <w:i/>
      <w:iCs/>
      <w:color w:themeColor="text1" w:themeTint="a6" w:val="595959"/>
    </w:rPr>
  </w:style>
  <w:style w:type="character" w:styleId="IntenseEmphasis">
    <w:name w:val="Intense Emphasis"/>
    <w:basedOn w:val="DefaultParagraphFont"/>
    <w:uiPriority w:val="21"/>
    <w:qFormat/>
    <w:rsid w:val="00a05a18"/>
    <w:rPr>
      <w:b/>
      <w:bCs/>
      <w:i/>
      <w:iCs/>
    </w:rPr>
  </w:style>
  <w:style w:type="character" w:styleId="SubtleReference">
    <w:name w:val="Subtle Reference"/>
    <w:basedOn w:val="DefaultParagraphFont"/>
    <w:uiPriority w:val="31"/>
    <w:qFormat/>
    <w:rsid w:val="00a05a18"/>
    <w:rPr>
      <w:smallCaps/>
      <w:color w:themeColor="text1" w:themeTint="bf" w:val="404040"/>
    </w:rPr>
  </w:style>
  <w:style w:type="character" w:styleId="IntenseReference">
    <w:name w:val="Intense Reference"/>
    <w:basedOn w:val="DefaultParagraphFont"/>
    <w:uiPriority w:val="32"/>
    <w:qFormat/>
    <w:rsid w:val="00a05a18"/>
    <w:rPr>
      <w:b/>
      <w:bCs/>
      <w:smallCaps/>
      <w:u w:val="single"/>
    </w:rPr>
  </w:style>
  <w:style w:type="character" w:styleId="BookTitle">
    <w:name w:val="Book Title"/>
    <w:basedOn w:val="DefaultParagraphFont"/>
    <w:uiPriority w:val="33"/>
    <w:qFormat/>
    <w:rsid w:val="00a05a18"/>
    <w:rPr>
      <w:b/>
      <w:bCs/>
      <w:smallCaps/>
    </w:rPr>
  </w:style>
  <w:style w:type="character" w:styleId="IndexLink">
    <w:name w:val="Index Link"/>
    <w:qFormat/>
    <w:rPr/>
  </w:style>
  <w:style w:type="paragraph" w:styleId="Heading" w:customStyle="1">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next w:val="Normal"/>
    <w:uiPriority w:val="35"/>
    <w:unhideWhenUsed/>
    <w:qFormat/>
    <w:rsid w:val="00a05a18"/>
    <w:pPr>
      <w:spacing w:lineRule="auto" w:line="240"/>
    </w:pPr>
    <w:rPr>
      <w:b/>
      <w:bCs/>
      <w:color w:themeColor="text1" w:themeTint="bf" w:val="404040"/>
      <w:sz w:val="20"/>
      <w:szCs w:val="20"/>
    </w:rPr>
  </w:style>
  <w:style w:type="paragraph" w:styleId="Index" w:customStyle="1">
    <w:name w:val="Index"/>
    <w:basedOn w:val="Normal"/>
    <w:qFormat/>
    <w:pPr>
      <w:suppressLineNumbers/>
    </w:pPr>
    <w:rPr>
      <w:rFonts w:cs="FreeSans"/>
    </w:rPr>
  </w:style>
  <w:style w:type="paragraph" w:styleId="Title">
    <w:name w:val="Title"/>
    <w:basedOn w:val="Normal"/>
    <w:next w:val="Normal"/>
    <w:link w:val="TitleChar"/>
    <w:uiPriority w:val="10"/>
    <w:qFormat/>
    <w:rsid w:val="00a05a18"/>
    <w:pPr>
      <w:spacing w:lineRule="auto" w:line="240" w:before="0" w:after="0"/>
      <w:contextualSpacing/>
    </w:pPr>
    <w:rPr>
      <w:rFonts w:ascii="Arial" w:hAnsi="Arial" w:eastAsia="DejaVu Sans" w:cs="DejaVu Sans" w:asciiTheme="majorHAnsi" w:cstheme="majorBidi" w:eastAsiaTheme="majorEastAsia" w:hAnsiTheme="majorHAnsi"/>
      <w:color w:themeColor="accent1" w:themeShade="bf" w:val="0B5294"/>
      <w:spacing w:val="-7"/>
      <w:sz w:val="80"/>
      <w:szCs w:val="80"/>
    </w:rPr>
  </w:style>
  <w:style w:type="paragraph" w:styleId="StrongEmphasis" w:customStyle="1">
    <w:name w:val="Strong Emphasis"/>
    <w:qFormat/>
    <w:pPr>
      <w:widowControl/>
      <w:suppressAutoHyphens w:val="true"/>
      <w:bidi w:val="0"/>
      <w:spacing w:lineRule="auto" w:line="264" w:before="0" w:after="0"/>
      <w:jc w:val="start"/>
    </w:pPr>
    <w:rPr>
      <w:rFonts w:ascii="Times New Roman" w:hAnsi="Times New Roman" w:eastAsia="Times New Roman" w:cs="Times New Roman"/>
      <w:b/>
      <w:bCs/>
      <w:color w:val="auto"/>
      <w:kern w:val="0"/>
      <w:sz w:val="24"/>
      <w:szCs w:val="24"/>
      <w:lang w:val="en-US" w:eastAsia="zh-CN" w:bidi="hi-IN"/>
    </w:rPr>
  </w:style>
  <w:style w:type="paragraph" w:styleId="ListParagraph">
    <w:name w:val="List Paragraph"/>
    <w:uiPriority w:val="34"/>
    <w:qFormat/>
    <w:pPr>
      <w:widowControl/>
      <w:suppressAutoHyphens w:val="true"/>
      <w:bidi w:val="0"/>
      <w:spacing w:lineRule="auto" w:line="264" w:before="0" w:after="120"/>
      <w:ind w:start="720"/>
      <w:contextualSpacing/>
      <w:jc w:val="start"/>
    </w:pPr>
    <w:rPr>
      <w:rFonts w:ascii="Times New Roman" w:hAnsi="Times New Roman" w:eastAsia="DejaVu Sans" w:cs="Mangal" w:eastAsiaTheme="minorEastAsia"/>
      <w:color w:val="auto"/>
      <w:kern w:val="0"/>
      <w:sz w:val="24"/>
      <w:szCs w:val="19"/>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TOC1">
    <w:name w:val="toc 1"/>
    <w:basedOn w:val="Normal"/>
    <w:next w:val="Normal"/>
    <w:autoRedefine/>
    <w:uiPriority w:val="39"/>
    <w:unhideWhenUsed/>
    <w:rsid w:val="00f60de4"/>
    <w:pPr>
      <w:spacing w:before="0" w:after="100"/>
    </w:pPr>
    <w:rPr>
      <w:rFonts w:cs="Mangal"/>
    </w:rPr>
  </w:style>
  <w:style w:type="paragraph" w:styleId="TOC2">
    <w:name w:val="toc 2"/>
    <w:basedOn w:val="Normal"/>
    <w:next w:val="Normal"/>
    <w:autoRedefine/>
    <w:uiPriority w:val="39"/>
    <w:unhideWhenUsed/>
    <w:rsid w:val="00f60de4"/>
    <w:pPr>
      <w:spacing w:before="0" w:after="100"/>
      <w:ind w:start="240"/>
    </w:pPr>
    <w:rPr>
      <w:rFonts w:cs="Mangal"/>
    </w:rPr>
  </w:style>
  <w:style w:type="paragraph" w:styleId="IndexHeading">
    <w:name w:val="index heading"/>
    <w:basedOn w:val="Heading"/>
    <w:pPr/>
    <w:rPr/>
  </w:style>
  <w:style w:type="paragraph" w:styleId="TOCHeading">
    <w:name w:val="TOC Heading"/>
    <w:basedOn w:val="Heading1"/>
    <w:next w:val="Normal"/>
    <w:uiPriority w:val="39"/>
    <w:unhideWhenUsed/>
    <w:qFormat/>
    <w:rsid w:val="00a05a18"/>
    <w:pPr>
      <w:outlineLvl w:val="9"/>
    </w:pPr>
    <w:rPr/>
  </w:style>
  <w:style w:type="paragraph" w:styleId="Subtitle">
    <w:name w:val="Subtitle"/>
    <w:basedOn w:val="Normal"/>
    <w:next w:val="Normal"/>
    <w:link w:val="SubtitleChar"/>
    <w:uiPriority w:val="11"/>
    <w:qFormat/>
    <w:rsid w:val="00a05a18"/>
    <w:pPr>
      <w:spacing w:lineRule="auto" w:line="240" w:before="0" w:after="240"/>
    </w:pPr>
    <w:rPr>
      <w:rFonts w:ascii="Arial" w:hAnsi="Arial" w:eastAsia="DejaVu Sans" w:cs="DejaVu Sans" w:asciiTheme="majorHAnsi" w:cstheme="majorBidi" w:eastAsiaTheme="majorEastAsia" w:hAnsiTheme="majorHAnsi"/>
      <w:color w:themeColor="text1" w:themeTint="bf" w:val="404040"/>
      <w:sz w:val="30"/>
      <w:szCs w:val="30"/>
    </w:rPr>
  </w:style>
  <w:style w:type="paragraph" w:styleId="NoSpacing">
    <w:name w:val="No Spacing"/>
    <w:uiPriority w:val="1"/>
    <w:qFormat/>
    <w:rsid w:val="00a05a18"/>
    <w:pPr>
      <w:widowControl/>
      <w:suppressAutoHyphens w:val="true"/>
      <w:bidi w:val="0"/>
      <w:spacing w:lineRule="auto" w:line="240" w:before="0" w:after="0"/>
      <w:jc w:val="start"/>
    </w:pPr>
    <w:rPr>
      <w:rFonts w:ascii="Times New Roman" w:hAnsi="Times New Roman" w:eastAsia="DejaVu Sans" w:cs="Times New Roman" w:eastAsiaTheme="minorEastAsia"/>
      <w:color w:val="auto"/>
      <w:kern w:val="0"/>
      <w:sz w:val="24"/>
      <w:szCs w:val="21"/>
      <w:lang w:val="en-US" w:eastAsia="zh-CN" w:bidi="hi-IN"/>
    </w:rPr>
  </w:style>
  <w:style w:type="paragraph" w:styleId="Quote">
    <w:name w:val="Quote"/>
    <w:basedOn w:val="Normal"/>
    <w:next w:val="Normal"/>
    <w:link w:val="QuoteChar"/>
    <w:uiPriority w:val="29"/>
    <w:qFormat/>
    <w:rsid w:val="00a05a18"/>
    <w:pPr>
      <w:spacing w:lineRule="auto" w:line="252" w:before="240" w:after="240"/>
      <w:ind w:start="864" w:end="864"/>
      <w:jc w:val="center"/>
    </w:pPr>
    <w:rPr>
      <w:i/>
      <w:iCs/>
    </w:rPr>
  </w:style>
  <w:style w:type="paragraph" w:styleId="IntenseQuote">
    <w:name w:val="Intense Quote"/>
    <w:basedOn w:val="Normal"/>
    <w:next w:val="Normal"/>
    <w:link w:val="IntenseQuoteChar"/>
    <w:uiPriority w:val="30"/>
    <w:qFormat/>
    <w:rsid w:val="00a05a18"/>
    <w:pPr>
      <w:spacing w:beforeAutospacing="1" w:after="240"/>
      <w:ind w:start="864" w:end="864"/>
      <w:jc w:val="center"/>
    </w:pPr>
    <w:rPr>
      <w:rFonts w:ascii="Arial" w:hAnsi="Arial" w:eastAsia="DejaVu Sans" w:cs="DejaVu Sans" w:asciiTheme="majorHAnsi" w:cstheme="majorBidi" w:eastAsiaTheme="majorEastAsia" w:hAnsiTheme="majorHAnsi"/>
      <w:color w:themeColor="accent1" w:val="0F6FC6"/>
      <w:sz w:val="28"/>
      <w:szCs w:val="28"/>
    </w:rPr>
  </w:style>
  <w:style w:type="paragraph" w:styleId="FigureIndexHeading">
    <w:name w:val="Figure Index Heading"/>
    <w:basedOn w:val="IndexHeading"/>
    <w:qFormat/>
    <w:pPr>
      <w:suppressLineNumbers/>
      <w:ind w:hanging="0" w:start="0"/>
    </w:pPr>
    <w:rPr>
      <w:b/>
      <w:bCs/>
      <w:sz w:val="32"/>
      <w:szCs w:val="32"/>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Relationships xmlns="http://schemas.openxmlformats.org/package/2006/relationships"><Relationship Id="rId1" Type="http://schemas.openxmlformats.org/officeDocument/2006/relationships/styles" Target="styles.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a:themeElements>
    <a:clrScheme name="Blue">
      <a:dk1>
        <a:srgbClr val="000000"/>
      </a:dk1>
      <a:lt1>
        <a:srgbClr val="FFFFFF"/>
      </a:lt1>
      <a:dk2>
        <a:srgbClr val="17406D"/>
      </a:dk2>
      <a:lt2>
        <a:srgbClr val="DBEFF9"/>
      </a:lt2>
      <a:accent1>
        <a:srgbClr val="0F6FC6"/>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EC95AF-3926-4E99-A3FC-BCD21ADEC1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TotalTime>
  <Application>LibreOffice/26.2.3.2$Linux_X86_64 LibreOffice_project/620$Build-2</Application>
  <AppVersion>15.0000</AppVersion>
  <Pages>21</Pages>
  <Words>4077</Words>
  <Characters>28079</Characters>
  <CharactersWithSpaces>32036</CharactersWithSpaces>
  <Paragraphs>132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2026-06-30T04:07:00Z</dcterms:created>
  <dc:creator>Un-named</dc:creator>
  <dc:description/>
  <dc:language>en-US</dc:language>
  <cp:lastModifiedBy/>
  <cp:lastPrinted>2026-07-04T22:35:50Z</cp:lastPrinted>
  <dcterms:modified xsi:type="dcterms:W3CDTF">2026-07-04T22:40:34Z</dcterms:modified>
  <cp:revision>45</cp:revision>
  <dc:subject/>
  <dc:title/>
</cp:coreProperties>
</file>

<file path=docProps/custom.xml><?xml version="1.0" encoding="utf-8"?>
<Properties xmlns="http://schemas.openxmlformats.org/officeDocument/2006/custom-properties" xmlns:vt="http://schemas.openxmlformats.org/officeDocument/2006/docPropsVTypes"/>
</file>