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3.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lineRule="auto" w:line="240"/>
        <w:jc w:val="end"/>
        <w:rPr>
          <w:rFonts w:eastAsia="Calibri"/>
          <w:kern w:val="2"/>
          <w:szCs w:val="24"/>
          <w:lang w:val="en-PH"/>
          <w14:ligatures w14:val="standardContextual"/>
        </w:rPr>
      </w:pPr>
      <w:r>
        <w:rPr/>
        <w:drawing>
          <wp:anchor distT="0" distB="0" distL="0" distR="0" simplePos="0" relativeHeight="2" behindDoc="1" locked="0" layoutInCell="1" allowOverlap="1">
            <wp:simplePos x="0" y="0"/>
            <wp:positionH relativeFrom="column">
              <wp:posOffset>-942340</wp:posOffset>
            </wp:positionH>
            <wp:positionV relativeFrom="page">
              <wp:posOffset>-27940</wp:posOffset>
            </wp:positionV>
            <wp:extent cx="5251450" cy="235521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5251450" cy="2355215"/>
                    </a:xfrm>
                    <a:prstGeom prst="rect">
                      <a:avLst/>
                    </a:prstGeom>
                    <a:noFill/>
                  </pic:spPr>
                </pic:pic>
              </a:graphicData>
            </a:graphic>
          </wp:anchor>
        </w:drawing>
        <w:drawing>
          <wp:inline distT="0" distB="0" distL="0" distR="0">
            <wp:extent cx="2846705" cy="4857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2846705" cy="485775"/>
                    </a:xfrm>
                    <a:prstGeom prst="rect">
                      <a:avLst/>
                    </a:prstGeom>
                    <a:noFill/>
                  </pic:spPr>
                </pic:pic>
              </a:graphicData>
            </a:graphic>
          </wp:inline>
        </w:drawing>
      </w:r>
    </w:p>
    <w:p>
      <w:pPr>
        <w:pStyle w:val="Normal"/>
        <w:suppressAutoHyphens w:val="true"/>
        <w:spacing w:lineRule="auto" w:line="240" w:before="0" w:after="0"/>
        <w:jc w:val="end"/>
        <w:rPr>
          <w:rFonts w:eastAsia="Calibri"/>
          <w:kern w:val="2"/>
          <w:szCs w:val="24"/>
          <w14:ligatures w14:val="standardContextual"/>
        </w:rPr>
      </w:pPr>
      <w:r>
        <w:rPr>
          <w:rFonts w:eastAsia="Calibri"/>
          <w:kern w:val="2"/>
          <w:szCs w:val="24"/>
          <w14:ligatures w14:val="standardContextual"/>
        </w:rPr>
        <w:t>Dilli Bazar, Kathmandu</w:t>
      </w:r>
    </w:p>
    <w:p>
      <w:pPr>
        <w:pStyle w:val="Normal"/>
        <w:suppressAutoHyphens w:val="true"/>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jc w:val="center"/>
        <w:rPr>
          <w:rFonts w:eastAsia="Calibri"/>
          <w:b/>
          <w:bCs/>
          <w:color w:val="4570CF"/>
          <w:kern w:val="2"/>
          <w:sz w:val="48"/>
          <w:szCs w:val="48"/>
          <w14:ligatures w14:val="standardContextual"/>
        </w:rPr>
      </w:pPr>
      <w:r>
        <w:rPr>
          <w:rFonts w:eastAsia="Calibri"/>
          <w:b/>
          <w:bCs/>
          <w:color w:val="4570CF"/>
          <w:kern w:val="2"/>
          <w:sz w:val="48"/>
          <w:szCs w:val="48"/>
          <w14:ligatures w14:val="standardContextual"/>
        </w:rPr>
        <w:t>AHRID</w:t>
      </w:r>
    </w:p>
    <w:p>
      <w:pPr>
        <w:pStyle w:val="Normal"/>
        <w:suppressAutoHyphens w:val="true"/>
        <w:spacing w:lineRule="auto" w:line="240" w:before="200" w:after="0"/>
        <w:jc w:val="center"/>
        <w:rPr>
          <w:rFonts w:eastAsia="Times New Roman"/>
          <w:sz w:val="28"/>
          <w:szCs w:val="28"/>
        </w:rPr>
      </w:pPr>
      <w:r>
        <w:rPr>
          <w:rFonts w:eastAsia="Times New Roman"/>
          <w:color w:val="1A1A2E"/>
          <w:sz w:val="28"/>
          <w:szCs w:val="28"/>
        </w:rPr>
        <w:t>An adaptive human-risk intelligence dashboard with live threat-feed integration and behavioural risk scoring for non-technical Small and Medium Enterprise staff in Kathmandu Valley, fusing Open-Source Intelligence threat feeds with Random Forest and clustering on user telemetry, assessed on prediction accuracy, awareness uplift, and usability, bounded by surveillance limits and risk-score transparency.</w:t>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 w:val="32"/>
          <w:szCs w:val="32"/>
          <w14:ligatures w14:val="standardContextual"/>
        </w:rPr>
      </w:pPr>
      <w:r>
        <w:rPr>
          <w:rFonts w:eastAsia="Calibri"/>
          <w:kern w:val="2"/>
          <w:sz w:val="32"/>
          <w:szCs w:val="32"/>
          <w14:ligatures w14:val="standardContextual"/>
        </w:rPr>
        <w:t>Module: ST6047CEM Cyber Security Project</w:t>
      </w:r>
    </w:p>
    <w:p>
      <w:pPr>
        <w:pStyle w:val="Normal"/>
        <w:suppressAutoHyphens w:val="true"/>
        <w:spacing w:lineRule="auto" w:line="240" w:before="0" w:after="0"/>
        <w:jc w:val="both"/>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both"/>
        <w:rPr>
          <w:rFonts w:eastAsia="Calibri"/>
          <w:kern w:val="2"/>
          <w:szCs w:val="24"/>
          <w:lang w:val="en-PH"/>
          <w14:ligatures w14:val="standardContextual"/>
        </w:rPr>
      </w:pPr>
      <w:r>
        <w:rPr>
          <w:rFonts w:eastAsia="Calibri"/>
          <w:kern w:val="2"/>
          <w:szCs w:val="24"/>
          <w:lang w:val="en-PH"/>
          <w14:ligatures w14:val="standardContextual"/>
        </w:rPr>
        <w:br/>
        <w:br/>
      </w:r>
    </w:p>
    <w:p>
      <w:pPr>
        <w:pStyle w:val="Normal"/>
        <w:suppressAutoHyphens w:val="true"/>
        <w:spacing w:lineRule="auto" w:line="240" w:before="0" w:after="0"/>
        <w:jc w:val="both"/>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both"/>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both"/>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both"/>
        <w:rPr>
          <w:rFonts w:eastAsia="Calibri"/>
          <w:kern w:val="2"/>
          <w:sz w:val="28"/>
          <w:szCs w:val="28"/>
          <w:lang w:val="en-PH"/>
          <w14:ligatures w14:val="standardContextual"/>
        </w:rPr>
      </w:pPr>
      <w:r>
        <w:rPr>
          <w:rFonts w:eastAsia="Calibri"/>
          <w:kern w:val="2"/>
          <w:sz w:val="28"/>
          <w:szCs w:val="28"/>
          <w:lang w:val="en-PH"/>
          <w14:ligatures w14:val="standardContextual"/>
        </w:rPr>
        <w:t>Prepared by</w:t>
      </w:r>
    </w:p>
    <w:p>
      <w:pPr>
        <w:pStyle w:val="Normal"/>
        <w:suppressAutoHyphens w:val="true"/>
        <w:spacing w:lineRule="auto" w:line="240" w:before="0" w:after="0"/>
        <w:jc w:val="both"/>
        <w:rPr>
          <w:rFonts w:eastAsia="Calibri"/>
          <w:b/>
          <w:bCs/>
          <w:kern w:val="2"/>
          <w:sz w:val="28"/>
          <w:szCs w:val="28"/>
          <w:lang w:val="en-PH"/>
          <w14:ligatures w14:val="standardContextual"/>
        </w:rPr>
      </w:pPr>
      <w:r>
        <w:rPr>
          <w:rFonts w:eastAsia="Calibri"/>
          <w:b/>
          <w:bCs/>
          <w:kern w:val="2"/>
          <w:sz w:val="28"/>
          <w:szCs w:val="28"/>
          <w:lang w:val="en-PH"/>
          <w14:ligatures w14:val="standardContextual"/>
        </w:rPr>
        <w:t>Rupesh Kumar Thakur</w:t>
      </w:r>
    </w:p>
    <w:p>
      <w:pPr>
        <w:pStyle w:val="Normal"/>
        <w:suppressAutoHyphens w:val="true"/>
        <w:spacing w:lineRule="auto" w:line="240" w:before="0" w:after="0"/>
        <w:jc w:val="both"/>
        <w:rPr>
          <w:rFonts w:eastAsia="Calibri"/>
          <w:kern w:val="2"/>
          <w:sz w:val="28"/>
          <w:szCs w:val="28"/>
          <w14:ligatures w14:val="standardContextual"/>
        </w:rPr>
      </w:pPr>
      <w:r>
        <w:drawing>
          <wp:anchor distT="0" distB="0" distL="0" distR="0" simplePos="0" relativeHeight="3" behindDoc="1" locked="0" layoutInCell="1" allowOverlap="1">
            <wp:simplePos x="0" y="0"/>
            <wp:positionH relativeFrom="column">
              <wp:posOffset>-723900</wp:posOffset>
            </wp:positionH>
            <wp:positionV relativeFrom="paragraph">
              <wp:posOffset>161925</wp:posOffset>
            </wp:positionV>
            <wp:extent cx="7581900" cy="3401060"/>
            <wp:effectExtent l="0" t="0" r="0" b="0"/>
            <wp:wrapNone/>
            <wp:docPr id="3" name="Picture 397888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97888421"/>
                    <pic:cNvPicPr>
                      <a:picLocks noChangeAspect="1" noChangeArrowheads="1"/>
                    </pic:cNvPicPr>
                  </pic:nvPicPr>
                  <pic:blipFill>
                    <a:blip r:embed="rId5"/>
                    <a:stretch>
                      <a:fillRect/>
                    </a:stretch>
                  </pic:blipFill>
                  <pic:spPr bwMode="auto">
                    <a:xfrm>
                      <a:off x="0" y="0"/>
                      <a:ext cx="7581900" cy="3401060"/>
                    </a:xfrm>
                    <a:prstGeom prst="rect">
                      <a:avLst/>
                    </a:prstGeom>
                    <a:noFill/>
                  </pic:spPr>
                </pic:pic>
              </a:graphicData>
            </a:graphic>
          </wp:anchor>
        </w:drawing>
      </w:r>
      <w:r>
        <w:rPr>
          <w:rFonts w:eastAsia="Calibri"/>
          <w:kern w:val="2"/>
          <w:sz w:val="28"/>
          <w:szCs w:val="28"/>
          <w14:ligatures w14:val="standardContextual"/>
        </w:rPr>
        <w:t>College ID: 230548</w:t>
      </w:r>
    </w:p>
    <w:p>
      <w:pPr>
        <w:pStyle w:val="Normal"/>
        <w:suppressAutoHyphens w:val="true"/>
        <w:spacing w:lineRule="auto" w:line="240" w:before="0" w:after="0"/>
        <w:jc w:val="both"/>
        <w:rPr>
          <w:rFonts w:eastAsia="Calibri"/>
          <w:kern w:val="2"/>
          <w:sz w:val="28"/>
          <w:szCs w:val="28"/>
          <w14:ligatures w14:val="standardContextual"/>
        </w:rPr>
      </w:pPr>
      <w:r>
        <w:rPr>
          <w:rFonts w:eastAsia="Calibri"/>
          <w:kern w:val="2"/>
          <w:sz w:val="28"/>
          <w:szCs w:val="28"/>
          <w14:ligatures w14:val="standardContextual"/>
        </w:rPr>
        <w:t>CU ID: 14806490</w:t>
      </w:r>
    </w:p>
    <w:p>
      <w:pPr>
        <w:pStyle w:val="Normal"/>
        <w:suppressAutoHyphens w:val="true"/>
        <w:spacing w:lineRule="auto" w:line="240" w:before="0" w:after="0"/>
        <w:jc w:val="both"/>
        <w:rPr>
          <w:rFonts w:eastAsia="Calibri"/>
          <w:kern w:val="2"/>
          <w:sz w:val="28"/>
          <w:szCs w:val="28"/>
          <w14:ligatures w14:val="standardContextual"/>
        </w:rPr>
      </w:pPr>
      <w:r>
        <w:rPr>
          <w:rFonts w:eastAsia="Calibri"/>
          <w:kern w:val="2"/>
          <w:sz w:val="28"/>
          <w:szCs w:val="28"/>
          <w14:ligatures w14:val="standardContextual"/>
        </w:rPr>
        <w:t>Batch: 35'C</w:t>
      </w:r>
    </w:p>
    <w:p>
      <w:pPr>
        <w:pStyle w:val="Normal"/>
        <w:suppressAutoHyphens w:val="true"/>
        <w:spacing w:lineRule="auto" w:line="240" w:before="0" w:after="0"/>
        <w:jc w:val="both"/>
        <w:rPr>
          <w:rFonts w:eastAsia="Calibri"/>
          <w:kern w:val="2"/>
          <w:sz w:val="28"/>
          <w:szCs w:val="28"/>
          <w14:ligatures w14:val="standardContextual"/>
        </w:rPr>
      </w:pPr>
      <w:r>
        <w:rPr>
          <w:rFonts w:eastAsia="Calibri"/>
          <w:kern w:val="2"/>
          <w:sz w:val="28"/>
          <w:szCs w:val="28"/>
          <w14:ligatures w14:val="standardContextual"/>
        </w:rPr>
      </w:r>
    </w:p>
    <w:p>
      <w:pPr>
        <w:pStyle w:val="Normal"/>
        <w:suppressAutoHyphens w:val="true"/>
        <w:spacing w:lineRule="auto" w:line="240" w:before="0" w:after="0"/>
        <w:rPr>
          <w:rFonts w:eastAsia="Calibri"/>
          <w:b/>
          <w:bCs/>
          <w:kern w:val="2"/>
          <w:sz w:val="28"/>
          <w:szCs w:val="28"/>
          <w14:ligatures w14:val="standardContextual"/>
        </w:rPr>
      </w:pPr>
      <w:r>
        <w:rPr>
          <w:rFonts w:eastAsia="Calibri"/>
          <w:kern w:val="2"/>
          <w:sz w:val="28"/>
          <w:szCs w:val="28"/>
          <w14:ligatures w14:val="standardContextual"/>
        </w:rPr>
        <w:t>Submitted To</w:t>
        <w:br/>
      </w:r>
      <w:r>
        <w:rPr>
          <w:rFonts w:eastAsia="Calibri"/>
          <w:b/>
          <w:bCs/>
          <w:kern w:val="2"/>
          <w:sz w:val="28"/>
          <w:szCs w:val="28"/>
          <w14:ligatures w14:val="standardContextual"/>
        </w:rPr>
        <w:t>Manoj Shrestha</w:t>
      </w:r>
    </w:p>
    <w:p>
      <w:pPr>
        <w:pStyle w:val="Normal"/>
        <w:spacing w:lineRule="auto" w:line="360"/>
        <w:rPr/>
      </w:pPr>
      <w:r>
        <w:rPr/>
      </w:r>
    </w:p>
    <w:p>
      <w:pPr>
        <w:pStyle w:val="TOCHeading"/>
        <w:rPr>
          <w:rFonts w:ascii="Times New Roman" w:hAnsi="Times New Roman" w:cs="Times New Roman"/>
        </w:rPr>
      </w:pPr>
      <w:bookmarkStart w:id="0" w:name="__RefHeading___Toc545_3003181911"/>
      <w:bookmarkStart w:id="1" w:name="_Toc233700869"/>
      <w:bookmarkStart w:id="2" w:name="_Toc233700143"/>
      <w:bookmarkEnd w:id="0"/>
      <w:r>
        <w:rPr/>
        <w:t>System Architecture and Framework Design</w:t>
      </w:r>
      <w:bookmarkEnd w:id="1"/>
      <w:bookmarkEnd w:id="2"/>
    </w:p>
    <w:p>
      <w:pPr>
        <w:pStyle w:val="Normal"/>
        <w:spacing w:lineRule="auto" w:line="360"/>
        <w:jc w:val="both"/>
        <w:rPr/>
      </w:pPr>
      <w:r>
        <w:rPr>
          <w:rFonts w:eastAsia="Times New Roman"/>
          <w:szCs w:val="24"/>
        </w:rPr>
        <w:t>The following diagrams illustrate the AHRID architecture and development methodology. The system encompasses four subsystems: (1) a dual-source scenario pipeline combining manual authoring (450 scenarios) with live OSINT ingestion (AlienVault OTX + Phishing.Database, 20 scenarios maximum per run) across eight threat categories; (2) a mastery-weighted adaptive training engine with risk-based spacing (Critical=12h, High=24h, Medium=48h, Low=72h) and a 21-day forgetting half-life; (3) a three-stage ML pipeline (K-Means five-archetype clustering, Random Forest 18-feature classification, SHAP TreeExplainer attribution); and (4) a role-based dashboard for employees, managers, and administrators.</w:t>
      </w:r>
    </w:p>
    <w:p>
      <w:pPr>
        <w:pStyle w:val="Normal"/>
        <w:spacing w:before="100" w:after="120"/>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943600" cy="3956050"/>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6"/>
                    <a:stretch>
                      <a:fillRect/>
                    </a:stretch>
                  </pic:blipFill>
                  <pic:spPr bwMode="auto">
                    <a:xfrm>
                      <a:off x="0" y="0"/>
                      <a:ext cx="5943600" cy="3956050"/>
                    </a:xfrm>
                    <a:prstGeom prst="rect">
                      <a:avLst/>
                    </a:prstGeom>
                    <a:noFill/>
                  </pic:spPr>
                </pic:pic>
              </a:graphicData>
            </a:graphic>
          </wp:anchor>
        </w:drawing>
      </w:r>
    </w:p>
    <w:p>
      <w:pPr>
        <w:pStyle w:val="Normal"/>
        <w:spacing w:before="120" w:after="0"/>
        <w:jc w:val="center"/>
        <w:rPr/>
      </w:pPr>
      <w:r>
        <w:rPr>
          <w:rFonts w:eastAsia="Times New Roman"/>
          <w:b/>
          <w:bCs/>
          <w:szCs w:val="24"/>
        </w:rPr>
        <w:t>Figure 1</w:t>
      </w:r>
    </w:p>
    <w:p>
      <w:pPr>
        <w:pStyle w:val="Normal"/>
        <w:spacing w:before="0" w:after="0"/>
        <w:jc w:val="center"/>
        <w:rPr/>
      </w:pPr>
      <w:r>
        <w:rPr>
          <w:rFonts w:eastAsia="Times New Roman"/>
          <w:i/>
          <w:iCs/>
          <w:szCs w:val="24"/>
        </w:rPr>
        <w:t>AHRID System Architecture: End-to-End Pipeline</w:t>
      </w:r>
    </w:p>
    <w:p>
      <w:pPr>
        <w:pStyle w:val="Normal"/>
        <w:spacing w:before="0" w:after="300"/>
        <w:jc w:val="center"/>
        <w:rPr/>
      </w:pPr>
      <w:r>
        <w:rPr>
          <w:rFonts w:eastAsia="Times New Roman"/>
          <w:i/>
          <w:iCs/>
          <w:szCs w:val="24"/>
        </w:rPr>
        <w:t xml:space="preserve">Note. </w:t>
      </w:r>
      <w:r>
        <w:rPr>
          <w:rFonts w:eastAsia="Times New Roman"/>
          <w:szCs w:val="24"/>
        </w:rPr>
        <w:t>End-to-end pipeline illustrating four subsystems: Open-Source Intelligence ingestion (AlienVault OTX + Phishing.Database), mastery-weighted adaptive training engine, three-stage ML pipeline (K-Means clustering + Random Forest classification + SHAP attribution), and role-based dashboards for employees, managers, and administrators.</w:t>
      </w:r>
    </w:p>
    <w:p>
      <w:pPr>
        <w:pStyle w:val="Normal"/>
        <w:spacing w:before="100" w:after="120"/>
        <w:rPr/>
      </w:pPr>
      <w:r>
        <w:rPr/>
      </w:r>
      <w:r>
        <w:br w:type="page"/>
      </w:r>
    </w:p>
    <w:p>
      <w:pPr>
        <w:pStyle w:val="Normal"/>
        <w:spacing w:before="0" w:after="120"/>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7"/>
                    <a:stretch>
                      <a:fillRect/>
                    </a:stretch>
                  </pic:blipFill>
                  <pic:spPr bwMode="auto">
                    <a:xfrm>
                      <a:off x="0" y="0"/>
                      <a:ext cx="5943600" cy="3343275"/>
                    </a:xfrm>
                    <a:prstGeom prst="rect">
                      <a:avLst/>
                    </a:prstGeom>
                    <a:noFill/>
                  </pic:spPr>
                </pic:pic>
              </a:graphicData>
            </a:graphic>
          </wp:anchor>
        </w:drawing>
      </w:r>
    </w:p>
    <w:p>
      <w:pPr>
        <w:pStyle w:val="Normal"/>
        <w:spacing w:before="120" w:after="0"/>
        <w:jc w:val="center"/>
        <w:rPr/>
      </w:pPr>
      <w:r>
        <w:rPr>
          <w:rFonts w:eastAsia="Times New Roman"/>
          <w:b/>
          <w:bCs/>
          <w:szCs w:val="24"/>
        </w:rPr>
        <w:t>Figure 2</w:t>
      </w:r>
    </w:p>
    <w:p>
      <w:pPr>
        <w:pStyle w:val="Normal"/>
        <w:spacing w:before="0" w:after="0"/>
        <w:jc w:val="center"/>
        <w:rPr/>
      </w:pPr>
      <w:r>
        <w:rPr>
          <w:rFonts w:eastAsia="Times New Roman"/>
          <w:i/>
          <w:iCs/>
          <w:szCs w:val="24"/>
        </w:rPr>
        <w:t>Agile Research Methodology Sprint Cycle</w:t>
      </w:r>
    </w:p>
    <w:p>
      <w:pPr>
        <w:pStyle w:val="Normal"/>
        <w:spacing w:before="0" w:after="300"/>
        <w:jc w:val="center"/>
        <w:rPr/>
      </w:pPr>
      <w:r>
        <w:rPr>
          <w:rFonts w:eastAsia="Times New Roman"/>
          <w:i/>
          <w:iCs/>
          <w:szCs w:val="24"/>
        </w:rPr>
        <w:t xml:space="preserve">Note. </w:t>
      </w:r>
      <w:r>
        <w:rPr>
          <w:rFonts w:eastAsia="Times New Roman"/>
          <w:szCs w:val="24"/>
        </w:rPr>
        <w:t>Five-phase, fifteen-sprint Agile development timeline spanning requirements analysis through technical evaluation, usability testing, and thesis submission (29 July 2026).</w:t>
      </w:r>
    </w:p>
    <w:p>
      <w:pPr>
        <w:pStyle w:val="Normal"/>
        <w:rPr/>
      </w:pPr>
      <w:r>
        <w:rPr/>
      </w:r>
      <w:r>
        <w:br w:type="page"/>
      </w:r>
    </w:p>
    <w:p>
      <w:pPr>
        <w:pStyle w:val="TOCHeading"/>
        <w:spacing w:before="0" w:after="40"/>
        <w:rPr>
          <w:rFonts w:ascii="Times New Roman" w:hAnsi="Times New Roman" w:cs="Times New Roman"/>
        </w:rPr>
      </w:pPr>
      <w:bookmarkStart w:id="3" w:name="__RefHeading___Toc547_3003181911"/>
      <w:bookmarkStart w:id="4" w:name="_Toc233700870"/>
      <w:bookmarkStart w:id="5" w:name="_Toc233700144"/>
      <w:bookmarkEnd w:id="3"/>
      <w:r>
        <w:rPr/>
        <w:t>Acknowledgement</w:t>
      </w:r>
      <w:bookmarkEnd w:id="4"/>
      <w:bookmarkEnd w:id="5"/>
    </w:p>
    <w:p>
      <w:pPr>
        <w:pStyle w:val="Normal"/>
        <w:spacing w:lineRule="auto" w:line="360"/>
        <w:jc w:val="both"/>
        <w:rPr/>
      </w:pPr>
      <w:r>
        <w:rPr>
          <w:rFonts w:eastAsia="Times New Roman"/>
          <w:szCs w:val="24"/>
        </w:rPr>
        <w:t>The completion of this research would not have been possible without the guidance and support of several individuals and institutions. Foremost recognition is due to the project supervisor, Manoj Shrestha, whose critical feedback on research methodology and cybersecurity domain knowledge shaped the analytical direction of this work throughout its development.</w:t>
      </w:r>
    </w:p>
    <w:p>
      <w:pPr>
        <w:pStyle w:val="Normal"/>
        <w:spacing w:lineRule="auto" w:line="360"/>
        <w:jc w:val="both"/>
        <w:rPr/>
      </w:pPr>
      <w:r>
        <w:rPr>
          <w:rFonts w:eastAsia="Times New Roman"/>
          <w:szCs w:val="24"/>
        </w:rPr>
        <w:t>Gratitude is extended to Softwarica College of IT &amp; E-Commerce and Coventry University for providing the academic framework and institutional resources that facilitated this investigation. Appreciation is also owed to the volunteer SME participants from Kathmandu Valley who contributed their time during usability and awareness evaluation sessions. Finally, sincere thanks are extended to family members and colleagues whose encouragement provided essential support throughout the duration of this project.</w:t>
      </w:r>
    </w:p>
    <w:p>
      <w:pPr>
        <w:pStyle w:val="Normal"/>
        <w:rPr/>
      </w:pPr>
      <w:r>
        <w:rPr/>
      </w:r>
      <w:r>
        <w:br w:type="page"/>
      </w:r>
    </w:p>
    <w:p>
      <w:pPr>
        <w:pStyle w:val="TOCHeading"/>
        <w:spacing w:before="0" w:after="40"/>
        <w:rPr>
          <w:rFonts w:ascii="Times New Roman" w:hAnsi="Times New Roman" w:cs="Times New Roman"/>
        </w:rPr>
      </w:pPr>
      <w:bookmarkStart w:id="6" w:name="__RefHeading___Toc549_3003181911"/>
      <w:bookmarkStart w:id="7" w:name="_Toc233700871"/>
      <w:bookmarkStart w:id="8" w:name="_Toc233700145"/>
      <w:bookmarkEnd w:id="6"/>
      <w:r>
        <w:rPr/>
        <w:t>Abstract</w:t>
      </w:r>
      <w:bookmarkEnd w:id="7"/>
      <w:bookmarkEnd w:id="8"/>
    </w:p>
    <w:p>
      <w:pPr>
        <w:pStyle w:val="Normal"/>
        <w:spacing w:lineRule="auto" w:line="360"/>
        <w:jc w:val="both"/>
        <w:rPr/>
      </w:pPr>
      <w:r>
        <w:rPr>
          <w:rFonts w:eastAsia="Times New Roman"/>
          <w:szCs w:val="24"/>
        </w:rPr>
        <w:t>This thesis presents the Adaptive Human-Risk Intelligence Dashboard (AHRID), a cybersecurity awareness training platform for non-technical Small and Medium Enterprise (SME) staff in Kathmandu Valley, Nepal, developed using a desk-based Design Science Research methodology across five phases and fifteen iterative Agile sprints. The research is motivated by Nepal’s sustained cybercrime surge — from 3,906 incidents in FY2020–21 to 18,926 in FY2024–25, with financial fraud alone accounting for 40.82% of the most recent year’s cases (Nepal Police Cyber Bureau, 2025) — and the structural inability of enterprise-grade awareness platforms to serve resource-constrained, Nepali-speaking SME environments. The platform integrates live phishing URL ingestion from an Open-Source Intelligence pipeline (Phishing.Database and AlienVault OTX) across eight scenario categories and delivers personalised training grounded in Protection Motivation Theory, Prospect Theory, and the Technology Acceptance Model. A three-stage machine learning pipeline applies K-Means clustering for behavioural archetype discovery (five archetypes, Silhouette = 0.265), Random Forest classification to an 18-feature behavioural vector for four-class risk prediction (200 trees, SMOTE-balanced), and SHAP TreeExplainer for plain-language per-prediction attribution. Evaluation against a rule-based baseline demonstrated classification accuracy of 90.95% (F1 macro = 0.8890, PR-AUC = 0.9399, Cohen’s Kappa = 0.8684), representing a 50.21 percentage-point improvement over the baseline F1 of 0.3868. The research addresses two central questions: how such a platform can be designed for measurable improvement in awareness outcomes (RQ1 Technical), and what ethical obligations arise when automated behavioural risk scoring targets non-technical employees (RQ2 Ethical). An embedded ethics framework addresses data minimisation, non-punitiveness, and compliance with Nepal’s Individual Privacy Act 2075.</w:t>
      </w:r>
    </w:p>
    <w:p>
      <w:pPr>
        <w:pStyle w:val="Normal"/>
        <w:rPr/>
      </w:pPr>
      <w:r>
        <w:rPr/>
      </w:r>
      <w:r>
        <w:br w:type="page"/>
      </w:r>
    </w:p>
    <w:p>
      <w:pPr>
        <w:pStyle w:val="TOCHeading"/>
        <w:spacing w:before="0" w:after="40"/>
        <w:rPr>
          <w:rFonts w:ascii="Times New Roman" w:hAnsi="Times New Roman" w:cs="Times New Roman"/>
        </w:rPr>
      </w:pPr>
      <w:bookmarkStart w:id="9" w:name="__RefHeading___Toc551_3003181911"/>
      <w:bookmarkStart w:id="10" w:name="_Toc233700872"/>
      <w:bookmarkStart w:id="11" w:name="_Toc233700146"/>
      <w:bookmarkEnd w:id="9"/>
      <w:r>
        <w:rPr/>
        <w:t>Keywords</w:t>
      </w:r>
      <w:bookmarkEnd w:id="10"/>
      <w:bookmarkEnd w:id="11"/>
    </w:p>
    <w:p>
      <w:pPr>
        <w:pStyle w:val="Normal"/>
        <w:spacing w:lineRule="auto" w:line="360" w:before="0" w:after="120"/>
        <w:rPr/>
      </w:pPr>
      <w:r>
        <w:rPr>
          <w:rFonts w:eastAsia="Times New Roman"/>
          <w:szCs w:val="24"/>
        </w:rPr>
        <w:t>Cybersecurity awareness training; Adaptive learning; Behavioural risk profiling; Machine learning; Random Forest; K-Means clustering; SHAP explainability; Open-Source Intelligence (OSINT); Protection Motivation Theory; Small and Medium Enterprises (SME); Nepal; Human-factor security; Phishing detection; Design Science Research; Prospect Theory; Technology Acceptance Model</w:t>
      </w:r>
    </w:p>
    <w:p>
      <w:pPr>
        <w:pStyle w:val="Normal"/>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3600" cy="4321175"/>
            <wp:effectExtent l="0" t="0" r="0" b="0"/>
            <wp:wrapSquare wrapText="largest"/>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8"/>
                    <a:stretch>
                      <a:fillRect/>
                    </a:stretch>
                  </pic:blipFill>
                  <pic:spPr bwMode="auto">
                    <a:xfrm>
                      <a:off x="0" y="0"/>
                      <a:ext cx="5943600" cy="4321175"/>
                    </a:xfrm>
                    <a:prstGeom prst="rect">
                      <a:avLst/>
                    </a:prstGeom>
                    <a:noFill/>
                  </pic:spPr>
                </pic:pic>
              </a:graphicData>
            </a:graphic>
          </wp:anchor>
        </w:drawing>
      </w:r>
      <w:r>
        <w:rPr/>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OCHeading"/>
        <w:rPr/>
      </w:pPr>
      <w:r>
        <w:rPr/>
        <w:t>Table of Contents</w:t>
      </w:r>
    </w:p>
    <w:sdt>
      <w:sdtPr>
        <w:docPartObj>
          <w:docPartGallery w:val="Table of Contents"/>
          <w:docPartUnique w:val="true"/>
        </w:docPartObj>
      </w:sdtPr>
      <w:sdtContent>
        <w:p>
          <w:pPr>
            <w:pStyle w:val="TOC1"/>
            <w:tabs>
              <w:tab w:val="clear" w:pos="720"/>
              <w:tab w:val="right" w:pos="9359" w:leader="dot"/>
            </w:tabs>
            <w:rPr/>
          </w:pPr>
          <w:r>
            <w:fldChar w:fldCharType="begin"/>
          </w:r>
          <w:r>
            <w:rPr>
              <w:rStyle w:val="IndexLink"/>
            </w:rPr>
            <w:instrText xml:space="preserve"> TOC \f \o "1-9" \h</w:instrText>
          </w:r>
          <w:r>
            <w:rPr>
              <w:rStyle w:val="IndexLink"/>
            </w:rPr>
            <w:fldChar w:fldCharType="separate"/>
          </w:r>
          <w:r>
            <w:rPr>
              <w:rStyle w:val="IndexLink"/>
            </w:rPr>
            <w:t>Introduction</w:t>
          </w:r>
          <w:r>
            <w:rPr/>
            <w:tab/>
            <w:t>10</w:t>
          </w:r>
        </w:p>
        <w:p>
          <w:pPr>
            <w:pStyle w:val="TOC1"/>
            <w:tabs>
              <w:tab w:val="clear" w:pos="720"/>
              <w:tab w:val="right" w:pos="9359" w:leader="dot"/>
            </w:tabs>
            <w:rPr/>
          </w:pPr>
          <w:r>
            <w:rPr/>
            <w:t>Problem Context and Motivation</w:t>
            <w:tab/>
            <w:t>11</w:t>
          </w:r>
        </w:p>
        <w:p>
          <w:pPr>
            <w:pStyle w:val="TOC1"/>
            <w:tabs>
              <w:tab w:val="clear" w:pos="720"/>
              <w:tab w:val="right" w:pos="9359" w:leader="dot"/>
            </w:tabs>
            <w:rPr/>
          </w:pPr>
          <w:r>
            <w:rPr/>
            <w:t>Cybersecurity Theories and Behavioural Factors in Security Decision-Making</w:t>
            <w:tab/>
            <w:t>12</w:t>
          </w:r>
        </w:p>
        <w:p>
          <w:pPr>
            <w:pStyle w:val="TOC1"/>
            <w:tabs>
              <w:tab w:val="clear" w:pos="720"/>
              <w:tab w:val="right" w:pos="9359" w:leader="dot"/>
            </w:tabs>
            <w:rPr/>
          </w:pPr>
          <w:r>
            <w:rPr/>
            <w:t>Integration of Machine Learning in Cybersecurity</w:t>
            <w:tab/>
            <w:t>14</w:t>
          </w:r>
        </w:p>
        <w:p>
          <w:pPr>
            <w:pStyle w:val="TOC1"/>
            <w:tabs>
              <w:tab w:val="clear" w:pos="720"/>
              <w:tab w:val="right" w:pos="9359" w:leader="dot"/>
            </w:tabs>
            <w:rPr/>
          </w:pPr>
          <w:r>
            <w:rPr/>
            <w:t>Research Aim</w:t>
            <w:tab/>
            <w:t>16</w:t>
          </w:r>
        </w:p>
        <w:p>
          <w:pPr>
            <w:pStyle w:val="TOC1"/>
            <w:tabs>
              <w:tab w:val="clear" w:pos="720"/>
              <w:tab w:val="right" w:pos="9359" w:leader="dot"/>
            </w:tabs>
            <w:rPr/>
          </w:pPr>
          <w:r>
            <w:rPr/>
            <w:t>Research Objectives</w:t>
            <w:tab/>
            <w:t>16</w:t>
          </w:r>
        </w:p>
        <w:p>
          <w:pPr>
            <w:pStyle w:val="TOC1"/>
            <w:tabs>
              <w:tab w:val="clear" w:pos="720"/>
              <w:tab w:val="right" w:pos="9359" w:leader="dot"/>
            </w:tabs>
            <w:rPr/>
          </w:pPr>
          <w:r>
            <w:rPr/>
            <w:t>Contribution and Significance</w:t>
            <w:tab/>
            <w:t>17</w:t>
          </w:r>
        </w:p>
        <w:p>
          <w:pPr>
            <w:pStyle w:val="TOC1"/>
            <w:tabs>
              <w:tab w:val="clear" w:pos="720"/>
              <w:tab w:val="right" w:pos="9359" w:leader="dot"/>
            </w:tabs>
            <w:rPr/>
          </w:pPr>
          <w:r>
            <w:rPr/>
            <w:t>Justification of the Study</w:t>
            <w:tab/>
            <w:t>18</w:t>
          </w:r>
        </w:p>
        <w:p>
          <w:pPr>
            <w:pStyle w:val="TOC1"/>
            <w:tabs>
              <w:tab w:val="clear" w:pos="720"/>
              <w:tab w:val="right" w:pos="9359" w:leader="dot"/>
            </w:tabs>
            <w:rPr/>
          </w:pPr>
          <w:r>
            <w:rPr/>
            <w:t>Research Questions</w:t>
            <w:tab/>
            <w:t>20</w:t>
          </w:r>
        </w:p>
        <w:p>
          <w:pPr>
            <w:pStyle w:val="TOC1"/>
            <w:tabs>
              <w:tab w:val="clear" w:pos="720"/>
              <w:tab w:val="right" w:pos="9359" w:leader="dot"/>
            </w:tabs>
            <w:rPr/>
          </w:pPr>
          <w:r>
            <w:rPr/>
            <w:t>Research Hypotheses</w:t>
            <w:tab/>
            <w:t>20</w:t>
          </w:r>
          <w:r>
            <w:rPr/>
            <w:fldChar w:fldCharType="end"/>
          </w:r>
        </w:p>
      </w:sdtContent>
    </w:sdt>
    <w:p>
      <w:pPr>
        <w:pStyle w:val="Normal"/>
        <w:rPr/>
      </w:pPr>
      <w:r>
        <w:rPr/>
      </w:r>
    </w:p>
    <w:p>
      <w:pPr>
        <w:pStyle w:val="Normal"/>
        <w:rPr/>
      </w:pPr>
      <w:r>
        <w:rPr/>
      </w:r>
      <w:r>
        <w:br w:type="page"/>
      </w:r>
    </w:p>
    <w:p>
      <w:pPr>
        <w:pStyle w:val="TOCHeading"/>
        <w:spacing w:before="0" w:after="40"/>
        <w:rPr/>
      </w:pPr>
      <w:bookmarkStart w:id="12" w:name="__RefHeading___Toc553_3003181911"/>
      <w:bookmarkStart w:id="13" w:name="_Toc233700873"/>
      <w:bookmarkStart w:id="14" w:name="_Toc233700147"/>
      <w:bookmarkEnd w:id="12"/>
      <w:r>
        <w:rPr/>
        <w:t>List of Figures</w:t>
      </w:r>
      <w:bookmarkEnd w:id="13"/>
      <w:bookmarkEnd w:id="14"/>
    </w:p>
    <w:p>
      <w:pPr>
        <w:pStyle w:val="Normal"/>
        <w:spacing w:lineRule="auto" w:line="360"/>
        <w:rPr/>
      </w:pPr>
      <w:r>
        <w:rPr>
          <w:rFonts w:eastAsia="Times New Roman"/>
          <w:szCs w:val="24"/>
        </w:rPr>
        <w:t>Figure 1. AHRID System Architecture: End-to-End Pipeline .................................................. 5</w:t>
      </w:r>
    </w:p>
    <w:p>
      <w:pPr>
        <w:pStyle w:val="Normal"/>
        <w:spacing w:lineRule="auto" w:line="360"/>
        <w:rPr/>
      </w:pPr>
      <w:r>
        <w:rPr>
          <w:rFonts w:eastAsia="Times New Roman"/>
          <w:szCs w:val="24"/>
        </w:rPr>
        <w:t>Figure 2. Agile Research Methodology Sprint Cycle ......................................................... 6</w:t>
      </w:r>
    </w:p>
    <w:p>
      <w:pPr>
        <w:pStyle w:val="Normal"/>
        <w:spacing w:lineRule="auto" w:line="360"/>
        <w:rPr/>
      </w:pPr>
      <w:r>
        <w:rPr>
          <w:rFonts w:eastAsia="Times New Roman"/>
          <w:szCs w:val="24"/>
        </w:rPr>
        <w:t>Figure 3. Nepal Cybercrime Incident Trends, Financial Year 2023-2025 ........................... 9</w:t>
      </w:r>
    </w:p>
    <w:p>
      <w:pPr>
        <w:pStyle w:val="Normal"/>
        <w:spacing w:lineRule="auto" w:line="360"/>
        <w:rPr/>
      </w:pPr>
      <w:r>
        <w:rPr>
          <w:rFonts w:eastAsia="Times New Roman"/>
          <w:szCs w:val="24"/>
        </w:rPr>
        <w:t>Figure 4. Structural Mismatch Between Existing Platforms and Kathmandu Valley SME Requirements ... 10</w:t>
      </w:r>
    </w:p>
    <w:p>
      <w:pPr>
        <w:pStyle w:val="Normal"/>
        <w:spacing w:lineRule="auto" w:line="360"/>
        <w:rPr/>
      </w:pPr>
      <w:r>
        <w:rPr>
          <w:rFonts w:eastAsia="Times New Roman"/>
          <w:szCs w:val="24"/>
        </w:rPr>
        <w:t>Figure 5. Integrated Theoretical Framework: PMT, Prospect Theory, and TAM Applied to AHRID Design .. 11</w:t>
      </w:r>
    </w:p>
    <w:p>
      <w:pPr>
        <w:pStyle w:val="Normal"/>
        <w:spacing w:lineRule="auto" w:line="360"/>
        <w:rPr/>
      </w:pPr>
      <w:r>
        <w:rPr>
          <w:rFonts w:eastAsia="Times New Roman"/>
          <w:szCs w:val="24"/>
        </w:rPr>
        <w:t>Figure 6. AHRID Dual Machine Learning Pipeline: Random Forest and K-Means Architecture ........ 12</w:t>
      </w:r>
    </w:p>
    <w:p>
      <w:pPr>
        <w:pStyle w:val="Normal"/>
        <w:spacing w:lineRule="auto" w:line="360"/>
        <w:rPr/>
      </w:pPr>
      <w:r>
        <w:rPr>
          <w:rFonts w:eastAsia="Times New Roman"/>
          <w:szCs w:val="24"/>
        </w:rPr>
        <w:t>Figure 7. Five-Angle Justification Framework for AHRID ................................. 16</w:t>
      </w:r>
    </w:p>
    <w:p>
      <w:pPr>
        <w:pStyle w:val="Normal"/>
        <w:rPr/>
      </w:pPr>
      <w:r>
        <w:rPr/>
      </w:r>
      <w:r>
        <w:br w:type="page"/>
      </w:r>
    </w:p>
    <w:p>
      <w:pPr>
        <w:pStyle w:val="TOCHeading"/>
        <w:spacing w:before="0" w:after="40"/>
        <w:rPr>
          <w:rFonts w:ascii="Times New Roman" w:hAnsi="Times New Roman" w:cs="Times New Roman"/>
        </w:rPr>
      </w:pPr>
      <w:bookmarkStart w:id="15" w:name="__RefHeading___Toc1335_668865025"/>
      <w:bookmarkEnd w:id="15"/>
      <w:r>
        <w:rPr/>
        <w:t>List of Tables</w:t>
      </w:r>
    </w:p>
    <w:p>
      <w:pPr>
        <w:pStyle w:val="Normal"/>
        <w:spacing w:lineRule="auto" w:line="360"/>
        <w:rPr/>
      </w:pPr>
      <w:r>
        <w:rPr>
          <w:rFonts w:eastAsia="Times New Roman"/>
          <w:szCs w:val="24"/>
        </w:rPr>
        <w:t>Table 1. Research Objectives Mapped to Types and Thesis Sections ............................ 13</w:t>
      </w:r>
    </w:p>
    <w:p>
      <w:pPr>
        <w:pStyle w:val="Normal"/>
        <w:rPr/>
      </w:pPr>
      <w:r>
        <w:rPr/>
      </w:r>
      <w:r>
        <w:br w:type="page"/>
      </w:r>
    </w:p>
    <w:p>
      <w:pPr>
        <w:pStyle w:val="Heading1"/>
        <w:spacing w:before="0" w:after="240"/>
        <w:rPr/>
      </w:pPr>
      <w:r>
        <w:rPr/>
        <w:t>List of Abbreviations</w:t>
      </w:r>
    </w:p>
    <w:p>
      <w:pPr>
        <w:pStyle w:val="Normal"/>
        <w:spacing w:lineRule="auto" w:line="319" w:before="0" w:after="80"/>
        <w:rPr/>
      </w:pPr>
      <w:r>
        <w:rPr>
          <w:b/>
        </w:rPr>
        <w:t>AHRID</w:t>
      </w:r>
      <w:r>
        <w:rPr/>
        <w:tab/>
        <w:t>Adaptive Human-Risk Intelligence Dashboard</w:t>
      </w:r>
    </w:p>
    <w:p>
      <w:pPr>
        <w:pStyle w:val="Normal"/>
        <w:spacing w:lineRule="auto" w:line="319" w:before="0" w:after="80"/>
        <w:rPr/>
      </w:pPr>
      <w:r>
        <w:rPr>
          <w:b/>
        </w:rPr>
        <w:t>API</w:t>
      </w:r>
      <w:r>
        <w:rPr/>
        <w:tab/>
        <w:t>Application Programming Interface</w:t>
      </w:r>
    </w:p>
    <w:p>
      <w:pPr>
        <w:pStyle w:val="Normal"/>
        <w:spacing w:lineRule="auto" w:line="319" w:before="0" w:after="80"/>
        <w:rPr/>
      </w:pPr>
      <w:r>
        <w:rPr>
          <w:b/>
        </w:rPr>
        <w:t>AUC</w:t>
      </w:r>
      <w:r>
        <w:rPr/>
        <w:tab/>
        <w:t>Area Under the Curve</w:t>
      </w:r>
    </w:p>
    <w:p>
      <w:pPr>
        <w:pStyle w:val="Normal"/>
        <w:spacing w:lineRule="auto" w:line="319" w:before="0" w:after="80"/>
        <w:rPr/>
      </w:pPr>
      <w:r>
        <w:rPr>
          <w:b/>
        </w:rPr>
        <w:t>CV</w:t>
      </w:r>
      <w:r>
        <w:rPr/>
        <w:tab/>
        <w:t>Cross-Validation</w:t>
      </w:r>
    </w:p>
    <w:p>
      <w:pPr>
        <w:pStyle w:val="Normal"/>
        <w:spacing w:lineRule="auto" w:line="319" w:before="0" w:after="80"/>
        <w:rPr/>
      </w:pPr>
      <w:r>
        <w:rPr>
          <w:b/>
        </w:rPr>
        <w:t>DSR</w:t>
      </w:r>
      <w:r>
        <w:rPr/>
        <w:tab/>
        <w:t>Design Science Research</w:t>
      </w:r>
    </w:p>
    <w:p>
      <w:pPr>
        <w:pStyle w:val="Normal"/>
        <w:spacing w:lineRule="auto" w:line="319" w:before="0" w:after="80"/>
        <w:rPr/>
      </w:pPr>
      <w:r>
        <w:rPr>
          <w:b/>
        </w:rPr>
        <w:t>DSRM</w:t>
      </w:r>
      <w:r>
        <w:rPr/>
        <w:tab/>
        <w:t>Design Science Research Methodology</w:t>
      </w:r>
    </w:p>
    <w:p>
      <w:pPr>
        <w:pStyle w:val="Normal"/>
        <w:spacing w:lineRule="auto" w:line="319" w:before="0" w:after="80"/>
        <w:rPr/>
      </w:pPr>
      <w:r>
        <w:rPr>
          <w:b/>
        </w:rPr>
        <w:t>F1</w:t>
      </w:r>
      <w:r>
        <w:rPr/>
        <w:tab/>
        <w:t>F1-Score (harmonic mean of precision and recall)</w:t>
      </w:r>
    </w:p>
    <w:p>
      <w:pPr>
        <w:pStyle w:val="Normal"/>
        <w:spacing w:lineRule="auto" w:line="319" w:before="0" w:after="80"/>
        <w:rPr/>
      </w:pPr>
      <w:r>
        <w:rPr>
          <w:b/>
        </w:rPr>
        <w:t>HDBSCAN</w:t>
      </w:r>
      <w:r>
        <w:rPr/>
        <w:tab/>
        <w:t>Hierarchical Density-Based Spatial Clustering of Applications with Noise</w:t>
      </w:r>
    </w:p>
    <w:p>
      <w:pPr>
        <w:pStyle w:val="Normal"/>
        <w:spacing w:lineRule="auto" w:line="319" w:before="0" w:after="80"/>
        <w:rPr/>
      </w:pPr>
      <w:r>
        <w:rPr>
          <w:b/>
        </w:rPr>
        <w:t>IPA</w:t>
      </w:r>
      <w:r>
        <w:rPr/>
        <w:tab/>
        <w:t>Individual Privacy Act (Nepal, 2075/2018)</w:t>
      </w:r>
    </w:p>
    <w:p>
      <w:pPr>
        <w:pStyle w:val="Normal"/>
        <w:spacing w:lineRule="auto" w:line="319" w:before="0" w:after="80"/>
        <w:rPr/>
      </w:pPr>
      <w:r>
        <w:rPr>
          <w:b/>
        </w:rPr>
        <w:t>ML</w:t>
      </w:r>
      <w:r>
        <w:rPr/>
        <w:tab/>
        <w:t>Machine Learning</w:t>
      </w:r>
    </w:p>
    <w:p>
      <w:pPr>
        <w:pStyle w:val="Normal"/>
        <w:spacing w:lineRule="auto" w:line="319" w:before="0" w:after="80"/>
        <w:rPr/>
      </w:pPr>
      <w:r>
        <w:rPr>
          <w:b/>
        </w:rPr>
        <w:t>OSINT</w:t>
      </w:r>
      <w:r>
        <w:rPr/>
        <w:tab/>
        <w:t>Open-Source Intelligence</w:t>
      </w:r>
    </w:p>
    <w:p>
      <w:pPr>
        <w:pStyle w:val="Normal"/>
        <w:spacing w:lineRule="auto" w:line="319" w:before="0" w:after="80"/>
        <w:rPr/>
      </w:pPr>
      <w:r>
        <w:rPr>
          <w:b/>
        </w:rPr>
        <w:t>OTX</w:t>
      </w:r>
      <w:r>
        <w:rPr/>
        <w:tab/>
        <w:t>Open Threat Exchange (AlienVault)</w:t>
      </w:r>
    </w:p>
    <w:p>
      <w:pPr>
        <w:pStyle w:val="Normal"/>
        <w:spacing w:lineRule="auto" w:line="319" w:before="0" w:after="80"/>
        <w:rPr/>
      </w:pPr>
      <w:r>
        <w:rPr>
          <w:b/>
        </w:rPr>
        <w:t>PMT</w:t>
      </w:r>
      <w:r>
        <w:rPr/>
        <w:tab/>
        <w:t>Protection Motivation Theory</w:t>
      </w:r>
    </w:p>
    <w:p>
      <w:pPr>
        <w:pStyle w:val="Normal"/>
        <w:spacing w:lineRule="auto" w:line="319" w:before="0" w:after="80"/>
        <w:rPr/>
      </w:pPr>
      <w:r>
        <w:rPr>
          <w:b/>
        </w:rPr>
        <w:t>PR-AUC</w:t>
      </w:r>
      <w:r>
        <w:rPr/>
        <w:tab/>
        <w:t>Precision-Recall Area Under the Curve</w:t>
      </w:r>
    </w:p>
    <w:p>
      <w:pPr>
        <w:pStyle w:val="Normal"/>
        <w:spacing w:lineRule="auto" w:line="319" w:before="0" w:after="80"/>
        <w:rPr/>
      </w:pPr>
      <w:r>
        <w:rPr>
          <w:b/>
        </w:rPr>
        <w:t>RBAC</w:t>
      </w:r>
      <w:r>
        <w:rPr/>
        <w:tab/>
        <w:t>Role-Based Access Control</w:t>
      </w:r>
    </w:p>
    <w:p>
      <w:pPr>
        <w:pStyle w:val="Normal"/>
        <w:spacing w:lineRule="auto" w:line="319" w:before="0" w:after="80"/>
        <w:rPr/>
      </w:pPr>
      <w:r>
        <w:rPr>
          <w:b/>
        </w:rPr>
        <w:t>RF</w:t>
      </w:r>
      <w:r>
        <w:rPr/>
        <w:tab/>
        <w:t>Random Forest</w:t>
      </w:r>
    </w:p>
    <w:p>
      <w:pPr>
        <w:pStyle w:val="Normal"/>
        <w:spacing w:lineRule="auto" w:line="319" w:before="0" w:after="80"/>
        <w:rPr/>
      </w:pPr>
      <w:r>
        <w:rPr>
          <w:b/>
        </w:rPr>
        <w:t>SAT</w:t>
      </w:r>
      <w:r>
        <w:rPr/>
        <w:tab/>
        <w:t>Security Awareness Training</w:t>
      </w:r>
    </w:p>
    <w:p>
      <w:pPr>
        <w:pStyle w:val="Normal"/>
        <w:spacing w:lineRule="auto" w:line="319" w:before="0" w:after="80"/>
        <w:rPr/>
      </w:pPr>
      <w:r>
        <w:rPr>
          <w:b/>
        </w:rPr>
        <w:t>SHAP</w:t>
      </w:r>
      <w:r>
        <w:rPr/>
        <w:tab/>
        <w:t>SHapley Additive exPlanations</w:t>
      </w:r>
    </w:p>
    <w:p>
      <w:pPr>
        <w:pStyle w:val="Normal"/>
        <w:spacing w:lineRule="auto" w:line="319" w:before="0" w:after="80"/>
        <w:rPr/>
      </w:pPr>
      <w:r>
        <w:rPr>
          <w:b/>
        </w:rPr>
        <w:t>SIEM</w:t>
      </w:r>
      <w:r>
        <w:rPr/>
        <w:tab/>
        <w:t>Security Information and Event Management</w:t>
      </w:r>
    </w:p>
    <w:p>
      <w:pPr>
        <w:pStyle w:val="Normal"/>
        <w:spacing w:lineRule="auto" w:line="319" w:before="0" w:after="80"/>
        <w:rPr/>
      </w:pPr>
      <w:r>
        <w:rPr>
          <w:b/>
        </w:rPr>
        <w:t>SME</w:t>
      </w:r>
      <w:r>
        <w:rPr/>
        <w:tab/>
        <w:t>Small and Medium Enterprise</w:t>
      </w:r>
    </w:p>
    <w:p>
      <w:pPr>
        <w:pStyle w:val="Normal"/>
        <w:spacing w:lineRule="auto" w:line="319" w:before="0" w:after="80"/>
        <w:rPr/>
      </w:pPr>
      <w:r>
        <w:rPr>
          <w:b/>
        </w:rPr>
        <w:t>SMOTE</w:t>
      </w:r>
      <w:r>
        <w:rPr/>
        <w:tab/>
        <w:t>Synthetic Minority Over-sampling Technique</w:t>
      </w:r>
    </w:p>
    <w:p>
      <w:pPr>
        <w:pStyle w:val="Normal"/>
        <w:spacing w:lineRule="auto" w:line="319" w:before="0" w:after="80"/>
        <w:rPr/>
      </w:pPr>
      <w:r>
        <w:rPr>
          <w:b/>
        </w:rPr>
        <w:t>SUS</w:t>
      </w:r>
      <w:r>
        <w:rPr/>
        <w:tab/>
        <w:t>System Usability Scale</w:t>
      </w:r>
    </w:p>
    <w:p>
      <w:pPr>
        <w:pStyle w:val="Normal"/>
        <w:spacing w:lineRule="auto" w:line="319" w:before="0" w:after="80"/>
        <w:rPr/>
      </w:pPr>
      <w:r>
        <w:rPr>
          <w:b/>
        </w:rPr>
        <w:t>SVM</w:t>
      </w:r>
      <w:r>
        <w:rPr/>
        <w:tab/>
        <w:t>Support Vector Machine</w:t>
      </w:r>
    </w:p>
    <w:p>
      <w:pPr>
        <w:pStyle w:val="Normal"/>
        <w:spacing w:lineRule="auto" w:line="319" w:before="0" w:after="80"/>
        <w:rPr/>
      </w:pPr>
      <w:r>
        <w:rPr>
          <w:b/>
        </w:rPr>
        <w:t>TAM</w:t>
      </w:r>
      <w:r>
        <w:rPr/>
        <w:tab/>
        <w:t>Technology Acceptance Model</w:t>
      </w:r>
    </w:p>
    <w:p>
      <w:pPr>
        <w:pStyle w:val="Normal"/>
        <w:spacing w:lineRule="auto" w:line="319" w:before="0" w:after="80"/>
        <w:rPr/>
      </w:pPr>
      <w:r>
        <w:rPr>
          <w:b/>
        </w:rPr>
        <w:t>UI</w:t>
      </w:r>
      <w:r>
        <w:rPr/>
        <w:tab/>
        <w:t>User Interface</w:t>
      </w:r>
    </w:p>
    <w:p>
      <w:pPr>
        <w:pStyle w:val="Normal"/>
        <w:spacing w:lineRule="auto" w:line="319" w:before="0" w:after="80"/>
        <w:rPr/>
      </w:pPr>
      <w:r>
        <w:rPr>
          <w:b/>
        </w:rPr>
        <w:t>URL</w:t>
      </w:r>
      <w:r>
        <w:rPr/>
        <w:tab/>
        <w:t>Uniform Resource Locator</w:t>
      </w:r>
    </w:p>
    <w:p>
      <w:pPr>
        <w:pStyle w:val="Normal"/>
        <w:spacing w:lineRule="auto" w:line="319" w:before="0" w:after="80"/>
        <w:rPr/>
      </w:pPr>
      <w:r>
        <w:rPr>
          <w:b/>
        </w:rPr>
        <w:t>XGBoost</w:t>
      </w:r>
      <w:r>
        <w:rPr/>
        <w:tab/>
        <w:t>Extreme Gradient Boosting</w:t>
      </w:r>
    </w:p>
    <w:p>
      <w:pPr>
        <w:pStyle w:val="Heading1"/>
        <w:spacing w:lineRule="auto" w:line="360" w:before="0" w:after="40"/>
        <w:rPr>
          <w:rFonts w:ascii="Times New Roman" w:hAnsi="Times New Roman" w:cs="Times New Roman"/>
        </w:rPr>
      </w:pPr>
      <w:bookmarkStart w:id="16" w:name="__RefHeading___Toc555_3003181911"/>
      <w:bookmarkStart w:id="17" w:name="_Toc233700874"/>
      <w:bookmarkStart w:id="18" w:name="_Toc233700150"/>
      <w:bookmarkEnd w:id="16"/>
      <w:r>
        <w:rPr>
          <w:rFonts w:eastAsia="Times New Roman" w:cs="Times New Roman" w:ascii="Times New Roman" w:hAnsi="Times New Roman"/>
          <w:b/>
          <w:bCs/>
          <w:sz w:val="32"/>
          <w:szCs w:val="32"/>
        </w:rPr>
        <w:t>Introduction</w:t>
      </w:r>
      <w:bookmarkEnd w:id="17"/>
      <w:bookmarkEnd w:id="18"/>
    </w:p>
    <w:p>
      <w:pPr>
        <w:pStyle w:val="Normal"/>
        <w:spacing w:lineRule="auto" w:line="360" w:before="0" w:after="120"/>
        <w:jc w:val="both"/>
        <w:rPr/>
      </w:pPr>
      <w:r>
        <w:rPr>
          <w:rFonts w:eastAsia="Times New Roman"/>
          <w:szCs w:val="24"/>
        </w:rPr>
        <w:t>Global cybercrime damages are estimated at USD 10.5 trillion annually as of 2025, projected to reach USD 15.63 trillion by 2029 (Statista, 2025). Small and Medium Enterprises bear disproportionate exposure. The Verizon 2025 Data Breach Investigations Report recorded organisations with fewer than 1,000 employees experiencing 88% of ransomware incidents, with social engineering and phishing representing the dominant initial access vector. Within emerging economies, the problem is compounded by the absence of dedicated security personnel and limited budget allocation for awareness training. Nepal is not insulated from this trend. Nepal Police Cyber Bureau data show a five-year growth trajectory from 3,906 complaints in FY2020–21 to a peak of 19,730 in FY2023–24, settling at 18,926 in FY2024–25 — approximately 52 incidents per day (Nepal Police, 2025). Financial scams and fraud represented the single largest category at 40.82% (7,723 cases), followed by account hacking (18.51%; 3,503 cases) and fake or impersonated accounts (16.21%; 3,067 cases), with the majority targeting individuals and small business employees rather than technical infrastructure.</w:t>
      </w:r>
    </w:p>
    <w:p>
      <w:pPr>
        <w:pStyle w:val="Normal"/>
        <w:spacing w:lineRule="auto" w:line="360" w:before="0" w:after="120"/>
        <w:jc w:val="both"/>
        <w:rPr/>
      </w:pPr>
      <w:r>
        <w:rPr>
          <w:rFonts w:eastAsia="Times New Roman"/>
          <w:szCs w:val="24"/>
        </w:rPr>
        <w:t>The human element remains implicated in approximately 68% of confirmed data breaches globally (Verizon, 2025), yet most commercially available security awareness platforms were designed for enterprise contexts with dedicated security teams, English-language workforces, and recurring subscription budgets that Kathmandu Valley Small and Medium Enterprises cannot sustain. Generic awareness training that presents identical content to all employees regardless of their behavioural risk profile has been shown to produce negligible retention gains beyond six weeks post-training (Lain et al., 2022). Security awareness programme effectiveness is further undermined when training content lacks contextual relevance to the specific threats employees encounter in their daily roles (Siponen, 2000). Platforms that do offer adaptive features, such as KnowBe4 and CybSafe, are priced exclusively for enterprise licensing and offer no localisation for Nepali threat contexts, Nepali-language UI, or alignment with Nepal’s Individual Privacy Act 2075. This creates a systemic gap: the employees most targeted by social engineering attacks are the least served by the tools designed to protect them (Kritzinger &amp; von Solms, 2010).</w:t>
      </w:r>
    </w:p>
    <w:p>
      <w:pPr>
        <w:pStyle w:val="Normal"/>
        <w:spacing w:lineRule="auto" w:line="360" w:before="0" w:after="120"/>
        <w:jc w:val="both"/>
        <w:rPr/>
      </w:pPr>
      <w:r>
        <w:rPr>
          <w:rFonts w:eastAsia="Times New Roman"/>
          <w:szCs w:val="24"/>
        </w:rPr>
        <w:t>The problem this research addresses is therefore both technical and structural: how to design an adaptive, explainable, locally contextualised cybersecurity awareness platform that operates within the resource, regulatory, and linguistic constraints of the Kathmandu Valley SME environment. This thesis presents AHRID, the Adaptive Human-Risk Intelligence Dashboard, a cybersecurity awareness training platform designed specifically for non-technical Small and Medium Enterprise staff in Kathmandu Valley. AHRID combines live threat intelligence ingestion from Open-Source Intelligence feeds with a three-stage machine learning pipeline: K-Means clustering (k=5) discovers five stable behavioural archetypes from employee interaction logs; Random Forest classification (200 trees, 18-feature vector) assigns real-time risk tiers, with the cluster label passed as an explicit input feature; and SHAP TreeExplainer renders per-prediction reasoning in plain language. SHAP TreeExplainer attribution translates probabilistic risk scores into plain-language explanations accessible to non-specialist users. The platform was developed using a five-phase, fifteen-sprint Agile methodology aligned with Design Science Research principles and evaluated against a rule-based baseline, achieving 90.95% classification accuracy, a macro F1 score of 0.8890, and a 50.21 percentage-point improvement over the baseline F1 of 0.3868.</w:t>
      </w:r>
    </w:p>
    <w:p>
      <w:pPr>
        <w:pStyle w:val="Normal"/>
        <w:pBdr>
          <w:top w:val="single" w:sz="4" w:space="4" w:color="AAAAAA"/>
          <w:left w:val="single" w:sz="4" w:space="4" w:color="AAAAAA"/>
          <w:bottom w:val="single" w:sz="4" w:space="4" w:color="AAAAAA"/>
          <w:right w:val="single" w:sz="4" w:space="4" w:color="AAAAAA"/>
        </w:pBdr>
        <w:shd w:val="clear" w:color="auto" w:fill="F2F2F2"/>
        <w:spacing w:lineRule="auto" w:line="360" w:before="240" w:after="60"/>
        <w:jc w:val="center"/>
        <w:rPr/>
      </w:pPr>
      <w:r>
        <w:rPr>
          <w:rFonts w:eastAsia="Times New Roman"/>
          <w:i/>
          <w:iCs/>
          <w:color w:val="666666"/>
          <w:szCs w:val="24"/>
        </w:rPr>
        <w:t>[INSERT FIGURE 3: Nepal Cybercrime Incident Trends, Financial Year 2023-2025. Replace this placeholder with the actual diagram before submission.]</w:t>
      </w:r>
    </w:p>
    <w:p>
      <w:pPr>
        <w:pStyle w:val="Normal"/>
        <w:spacing w:lineRule="auto" w:line="360" w:before="60" w:after="0"/>
        <w:rPr/>
      </w:pPr>
      <w:r>
        <w:rPr>
          <w:rFonts w:eastAsia="Times New Roman"/>
          <w:b/>
          <w:bCs/>
          <w:szCs w:val="24"/>
        </w:rPr>
        <w:t>Figure 3</w:t>
      </w:r>
    </w:p>
    <w:p>
      <w:pPr>
        <w:pStyle w:val="Normal"/>
        <w:spacing w:lineRule="auto" w:line="360" w:before="0" w:after="0"/>
        <w:jc w:val="both"/>
        <w:rPr/>
      </w:pPr>
      <w:r>
        <w:rPr>
          <w:rFonts w:eastAsia="Times New Roman"/>
          <w:i/>
          <w:iCs/>
          <w:szCs w:val="24"/>
        </w:rPr>
        <w:t xml:space="preserve">Nepal Cybercrime Incident Trends, Financial Year 2023–2025 </w:t>
      </w:r>
      <w:r>
        <w:rPr>
          <w:rFonts w:eastAsia="Times New Roman"/>
          <w:szCs w:val="24"/>
        </w:rPr>
        <w:t>Note. Data from Nepal Police Cyber Bureau Annual Report 2025. Bar chart shows total incidents per fiscal year; donut chart shows incident category breakdown for FY 2024-2025. FY = Fiscal Year.</w:t>
      </w:r>
    </w:p>
    <w:p>
      <w:pPr>
        <w:pStyle w:val="Normal"/>
        <w:spacing w:lineRule="auto" w:line="360" w:before="0" w:after="120"/>
        <w:jc w:val="both"/>
        <w:rPr>
          <w:rFonts w:eastAsia="Times New Roman"/>
          <w:szCs w:val="24"/>
        </w:rPr>
      </w:pPr>
      <w:r>
        <w:rPr>
          <w:rFonts w:eastAsia="Times New Roman"/>
          <w:szCs w:val="24"/>
        </w:rPr>
      </w:r>
    </w:p>
    <w:p>
      <w:pPr>
        <w:pStyle w:val="Heading1"/>
        <w:spacing w:lineRule="auto" w:line="360" w:before="0" w:after="40"/>
        <w:rPr>
          <w:rFonts w:ascii="Times New Roman" w:hAnsi="Times New Roman" w:cs="Times New Roman"/>
        </w:rPr>
      </w:pPr>
      <w:bookmarkStart w:id="19" w:name="__RefHeading___Toc557_3003181911"/>
      <w:bookmarkStart w:id="20" w:name="_Toc233700875"/>
      <w:bookmarkStart w:id="21" w:name="_Toc233700151"/>
      <w:bookmarkEnd w:id="19"/>
      <w:r>
        <w:rPr>
          <w:rFonts w:eastAsia="Times New Roman" w:cs="Times New Roman" w:ascii="Times New Roman" w:hAnsi="Times New Roman"/>
          <w:b/>
          <w:bCs/>
          <w:sz w:val="32"/>
          <w:szCs w:val="32"/>
        </w:rPr>
        <w:t>Problem Context and Motivation</w:t>
      </w:r>
      <w:bookmarkEnd w:id="20"/>
      <w:bookmarkEnd w:id="21"/>
    </w:p>
    <w:p>
      <w:pPr>
        <w:pStyle w:val="Normal"/>
        <w:spacing w:lineRule="auto" w:line="360" w:before="0" w:after="120"/>
        <w:jc w:val="both"/>
        <w:rPr/>
      </w:pPr>
      <w:r>
        <w:rPr>
          <w:rFonts w:eastAsia="Times New Roman"/>
          <w:szCs w:val="24"/>
        </w:rPr>
        <w:t>Security awareness practices within Kathmandu Valley Small and Medium Enterprises exhibit three structural deficiencies that existing platforms fail to address. First, limited information technology budgets preclude enterprise licensing: KnowBe4 and CybSafe operate on per-seat annual subscription models averaging USD 15 to 40 per user, a cost level inaccessible to most Nepali Small and Medium Enterprises employing ten to fifty staff. Second, the absence of dedicated security personnel means that training defaults to general-purpose staff without specialised expertise, producing content that is generic rather than role-targeted. Third, and most critically, non-technical roles constitute the primary attack surface: phishing campaigns and vishing attacks are designed to exploit cognitive vulnerabilities in employees unfamiliar with cybersecurity concepts, yet existing platforms assume a degree of baseline literacy that this population does not possess. Impulsivity and internet addiction are significantly associated with risky cybersecurity behaviours independently of general security attitudes (Hadlington, 2017), and Nepali Small and Medium Enterprises commonly lack formalised security policies, leaving employees relying on informal peer advice rather than structured guidance (Kabanda et al., 2018).</w:t>
      </w:r>
    </w:p>
    <w:p>
      <w:pPr>
        <w:pStyle w:val="Normal"/>
        <w:spacing w:lineRule="auto" w:line="360" w:before="0" w:after="120"/>
        <w:jc w:val="both"/>
        <w:rPr/>
      </w:pPr>
      <w:r>
        <w:rPr>
          <w:rFonts w:eastAsia="Times New Roman"/>
          <w:szCs w:val="24"/>
        </w:rPr>
        <w:t>This research addresses the absence of structured, locally contextualised, evidence-based human-risk tools for this context. Nepal’s cybersecurity incident volume has grown substantially alongside rapid mobile internet adoption, yet academic literature on human-risk management in Nepali Small and Medium Enterprise contexts remains sparse (IJMIR, 2025). By combining live Open-Source Intelligence threat intelligence from Phishing.Database and AlienVault OTX with behavioural machine learning and Protection Motivation Theory-grounded adaptive scenario delivery, AHRID provides a data-driven alternative to generic awareness approaches. Workman (2008) demonstrates that social engineering susceptibility is reducible through targeted, behaviour-specific interventions rather than general awareness campaigns alone. Open-Source Intelligence provides a cost-effective, automatable mechanism for maintaining current threat context without proprietary subscriptions (Ahmad, 2018). Machine learning applied to behavioural cybersecurity data can surface patterns invisible to static rule-based approaches (Buczak &amp; Guven, 2016). The platform converges computer science, behavioural psychology, and organisational risk management to address a problem that is simultaneously technical, cognitive, and structural. Crucially, it is designed to operate within the resource, regulatory, and linguistic constraints of the Kathmandu Valley Small and Medium Enterprise environment rather than retrofitting an enterprise solution to an incompatible context.</w:t>
      </w:r>
    </w:p>
    <w:p>
      <w:pPr>
        <w:pStyle w:val="Normal"/>
        <w:pBdr>
          <w:top w:val="single" w:sz="4" w:space="4" w:color="AAAAAA"/>
          <w:left w:val="single" w:sz="4" w:space="4" w:color="AAAAAA"/>
          <w:bottom w:val="single" w:sz="4" w:space="4" w:color="AAAAAA"/>
          <w:right w:val="single" w:sz="4" w:space="4" w:color="AAAAAA"/>
        </w:pBdr>
        <w:shd w:val="clear" w:color="auto" w:fill="F2F2F2"/>
        <w:spacing w:lineRule="auto" w:line="360" w:before="240" w:after="60"/>
        <w:jc w:val="center"/>
        <w:rPr/>
      </w:pPr>
      <w:r>
        <w:rPr>
          <w:rFonts w:eastAsia="Times New Roman"/>
          <w:i/>
          <w:iCs/>
          <w:color w:val="666666"/>
          <w:szCs w:val="24"/>
        </w:rPr>
        <w:t>[INSERT FIGURE 4: Structural Mismatch Between Existing Platforms and Kathmandu Valley SME Requirements. Replace this placeholder with the actual diagram before submission.]</w:t>
      </w:r>
    </w:p>
    <w:p>
      <w:pPr>
        <w:pStyle w:val="Normal"/>
        <w:spacing w:lineRule="auto" w:line="360" w:before="60" w:after="0"/>
        <w:rPr/>
      </w:pPr>
      <w:r>
        <w:rPr>
          <w:rFonts w:eastAsia="Times New Roman"/>
          <w:b/>
          <w:bCs/>
          <w:szCs w:val="24"/>
        </w:rPr>
        <w:t>Figure 4</w:t>
      </w:r>
    </w:p>
    <w:p>
      <w:pPr>
        <w:pStyle w:val="Normal"/>
        <w:spacing w:lineRule="auto" w:line="360" w:before="0" w:after="0"/>
        <w:jc w:val="both"/>
        <w:rPr/>
      </w:pPr>
      <w:r>
        <w:rPr>
          <w:rFonts w:eastAsia="Times New Roman"/>
          <w:i/>
          <w:iCs/>
          <w:szCs w:val="24"/>
        </w:rPr>
        <w:t xml:space="preserve">Structural Mismatch Between Existing Platforms and Kathmandu Valley SME Requirements </w:t>
      </w:r>
      <w:r>
        <w:rPr>
          <w:rFonts w:eastAsia="Times New Roman"/>
          <w:szCs w:val="24"/>
        </w:rPr>
        <w:t>Note. Comparison of enterprise-grade platform requirements (CybSafe, KnowBe4, Hoxhunt) against typical Kathmandu Valley SME resource profiles.</w:t>
      </w:r>
    </w:p>
    <w:p>
      <w:pPr>
        <w:pStyle w:val="Normal"/>
        <w:spacing w:lineRule="auto" w:line="360" w:before="0" w:after="120"/>
        <w:jc w:val="both"/>
        <w:rPr/>
      </w:pPr>
      <w:r>
        <w:rPr>
          <w:rFonts w:eastAsia="Times New Roman"/>
          <w:szCs w:val="24"/>
        </w:rPr>
        <w:t>Addressing this problem requires convergence across three disciplines: computer science contributes ensemble classification, clustering, and model explainability; behavioural psychology contributes Protection Motivation Theory, Prospect Theory, and cognitive bias research explaining why individuals fail to adopt protective behaviours despite threat awareness; and organisational risk management contributes role-based access control and ethical governance ensuring automated risk scoring serves employee development rather than covert surveillance. AHRID operationalises this interdisciplinary convergence.</w:t>
      </w:r>
    </w:p>
    <w:p>
      <w:pPr>
        <w:pStyle w:val="Normal"/>
        <w:spacing w:lineRule="auto" w:line="360" w:before="0" w:after="0"/>
        <w:jc w:val="both"/>
        <w:rPr>
          <w:rFonts w:eastAsia="Times New Roman"/>
          <w:szCs w:val="24"/>
        </w:rPr>
      </w:pPr>
      <w:r>
        <w:rPr>
          <w:rFonts w:eastAsia="Times New Roman"/>
          <w:szCs w:val="24"/>
        </w:rPr>
      </w:r>
    </w:p>
    <w:p>
      <w:pPr>
        <w:pStyle w:val="Normal"/>
        <w:spacing w:lineRule="auto" w:line="276" w:before="240" w:after="0"/>
        <w:rPr/>
      </w:pPr>
      <w:r>
        <w:rPr>
          <w:rFonts w:eastAsia="Times New Roman"/>
          <w:b/>
          <w:bCs/>
          <w:szCs w:val="24"/>
        </w:rPr>
        <w:t>Table 1</w:t>
      </w:r>
    </w:p>
    <w:p>
      <w:pPr>
        <w:pStyle w:val="Normal"/>
        <w:spacing w:lineRule="auto" w:line="276" w:before="0" w:after="40"/>
        <w:rPr/>
      </w:pPr>
      <w:r>
        <w:rPr>
          <w:rFonts w:eastAsia="Times New Roman"/>
          <w:i/>
          <w:iCs/>
          <w:szCs w:val="24"/>
        </w:rPr>
        <w:t>Enterprise Security Awareness Platform Cost Comparison vs AHRID</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2500"/>
        <w:gridCol w:w="1799"/>
        <w:gridCol w:w="2061"/>
        <w:gridCol w:w="1499"/>
        <w:gridCol w:w="1501"/>
      </w:tblGrid>
      <w:tr>
        <w:trPr/>
        <w:tc>
          <w:tcPr>
            <w:tcW w:w="25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Platform</w:t>
            </w:r>
          </w:p>
        </w:tc>
        <w:tc>
          <w:tcPr>
            <w:tcW w:w="1799"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Pricing Model</w:t>
            </w:r>
          </w:p>
        </w:tc>
        <w:tc>
          <w:tcPr>
            <w:tcW w:w="2061"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Approx. Annual Cost (100 users)</w:t>
            </w:r>
          </w:p>
        </w:tc>
        <w:tc>
          <w:tcPr>
            <w:tcW w:w="1499"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Open OSINT</w:t>
            </w:r>
          </w:p>
        </w:tc>
        <w:tc>
          <w:tcPr>
            <w:tcW w:w="1501"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SME Accessible</w:t>
            </w:r>
          </w:p>
        </w:tc>
      </w:tr>
      <w:tr>
        <w:trPr/>
        <w:tc>
          <w:tcPr>
            <w:tcW w:w="2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KnowBe4</w:t>
            </w:r>
          </w:p>
        </w:tc>
        <w:tc>
          <w:tcPr>
            <w:tcW w:w="17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Per-seat licence</w:t>
            </w:r>
          </w:p>
        </w:tc>
        <w:tc>
          <w:tcPr>
            <w:tcW w:w="206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USD 2,400 to 4,800</w:t>
            </w:r>
          </w:p>
        </w:tc>
        <w:tc>
          <w:tcPr>
            <w:tcW w:w="14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w:t>
            </w:r>
          </w:p>
        </w:tc>
      </w:tr>
      <w:tr>
        <w:trPr/>
        <w:tc>
          <w:tcPr>
            <w:tcW w:w="2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Proofpoint SAT</w:t>
            </w:r>
          </w:p>
        </w:tc>
        <w:tc>
          <w:tcPr>
            <w:tcW w:w="17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Per-seat + email suite</w:t>
            </w:r>
          </w:p>
        </w:tc>
        <w:tc>
          <w:tcPr>
            <w:tcW w:w="206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USD 3,000 to 6,000</w:t>
            </w:r>
          </w:p>
        </w:tc>
        <w:tc>
          <w:tcPr>
            <w:tcW w:w="14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w:t>
            </w:r>
          </w:p>
        </w:tc>
      </w:tr>
      <w:tr>
        <w:trPr/>
        <w:tc>
          <w:tcPr>
            <w:tcW w:w="2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CybSafe</w:t>
            </w:r>
          </w:p>
        </w:tc>
        <w:tc>
          <w:tcPr>
            <w:tcW w:w="17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Per-seat licence</w:t>
            </w:r>
          </w:p>
        </w:tc>
        <w:tc>
          <w:tcPr>
            <w:tcW w:w="206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USD 2,000 to 5,000</w:t>
            </w:r>
          </w:p>
        </w:tc>
        <w:tc>
          <w:tcPr>
            <w:tcW w:w="14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w:t>
            </w:r>
          </w:p>
        </w:tc>
      </w:tr>
      <w:tr>
        <w:trPr/>
        <w:tc>
          <w:tcPr>
            <w:tcW w:w="2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Hoxhunt</w:t>
            </w:r>
          </w:p>
        </w:tc>
        <w:tc>
          <w:tcPr>
            <w:tcW w:w="17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Per-seat licence</w:t>
            </w:r>
          </w:p>
        </w:tc>
        <w:tc>
          <w:tcPr>
            <w:tcW w:w="206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USD 2,000 to 4,000</w:t>
            </w:r>
          </w:p>
        </w:tc>
        <w:tc>
          <w:tcPr>
            <w:tcW w:w="14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w:t>
            </w:r>
          </w:p>
        </w:tc>
      </w:tr>
      <w:tr>
        <w:trPr/>
        <w:tc>
          <w:tcPr>
            <w:tcW w:w="2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SANS SAT</w:t>
            </w:r>
          </w:p>
        </w:tc>
        <w:tc>
          <w:tcPr>
            <w:tcW w:w="17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Enterprise contract</w:t>
            </w:r>
          </w:p>
        </w:tc>
        <w:tc>
          <w:tcPr>
            <w:tcW w:w="206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USD 5,000+</w:t>
            </w:r>
          </w:p>
        </w:tc>
        <w:tc>
          <w:tcPr>
            <w:tcW w:w="14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w:t>
            </w:r>
          </w:p>
        </w:tc>
      </w:tr>
      <w:tr>
        <w:trPr/>
        <w:tc>
          <w:tcPr>
            <w:tcW w:w="25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AHRID (this study)</w:t>
            </w:r>
          </w:p>
        </w:tc>
        <w:tc>
          <w:tcPr>
            <w:tcW w:w="17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Open-source; free OSINT feeds</w:t>
            </w:r>
          </w:p>
        </w:tc>
        <w:tc>
          <w:tcPr>
            <w:tcW w:w="206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USD 0 (server hosting only)</w:t>
            </w:r>
          </w:p>
        </w:tc>
        <w:tc>
          <w:tcPr>
            <w:tcW w:w="14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Yes</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Yes</w:t>
            </w:r>
          </w:p>
        </w:tc>
      </w:tr>
    </w:tbl>
    <w:p>
      <w:pPr>
        <w:pStyle w:val="Normal"/>
        <w:spacing w:lineRule="auto" w:line="276" w:before="40" w:after="300"/>
        <w:rPr/>
      </w:pPr>
      <w:r>
        <w:rPr>
          <w:rFonts w:eastAsia="Times New Roman"/>
          <w:szCs w:val="24"/>
        </w:rPr>
        <w:t>Note. Pricing estimates derived from published vendor benchmarking (Consilien, 2025; G2, 2026). AHRID uses Phishing.Database and AlienVault OTX read-only feeds at no cost. Per-seat pricing applies to a 100-user SME. SME Accessible defined as under USD 50/user/year with no enterprise contract requirement.</w:t>
      </w:r>
    </w:p>
    <w:p>
      <w:pPr>
        <w:pStyle w:val="Normal"/>
        <w:spacing w:before="120" w:after="120"/>
        <w:jc w:val="center"/>
        <w:rPr/>
      </w:pPr>
      <w:r>
        <w:rPr/>
        <w:drawing>
          <wp:inline distT="0" distB="0" distL="0" distR="0">
            <wp:extent cx="5760085" cy="3199765"/>
            <wp:effectExtent l="0" t="0" r="0" b="0"/>
            <wp:docPr id="7" name="Figure 3 Nepal Cybercrime Growth" descr="Figure 3 Nepal Cybercrime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3 Nepal Cybercrime Growth" descr="Figure 3 Nepal Cybercrime Growth"/>
                    <pic:cNvPicPr>
                      <a:picLocks noChangeAspect="1" noChangeArrowheads="1"/>
                    </pic:cNvPicPr>
                  </pic:nvPicPr>
                  <pic:blipFill>
                    <a:blip r:embed="rId9"/>
                    <a:stretch>
                      <a:fillRect/>
                    </a:stretch>
                  </pic:blipFill>
                  <pic:spPr bwMode="auto">
                    <a:xfrm>
                      <a:off x="0" y="0"/>
                      <a:ext cx="5760085" cy="3199765"/>
                    </a:xfrm>
                    <a:prstGeom prst="rect">
                      <a:avLst/>
                    </a:prstGeom>
                    <a:noFill/>
                  </pic:spPr>
                </pic:pic>
              </a:graphicData>
            </a:graphic>
          </wp:inline>
        </w:drawing>
      </w:r>
    </w:p>
    <w:p>
      <w:pPr>
        <w:pStyle w:val="Normal"/>
        <w:spacing w:before="60" w:after="300"/>
        <w:jc w:val="center"/>
        <w:rPr>
          <w:i/>
          <w:sz w:val="20"/>
          <w:szCs w:val="20"/>
        </w:rPr>
      </w:pPr>
      <w:r>
        <w:rPr>
          <w:i/>
          <w:sz w:val="20"/>
          <w:szCs w:val="20"/>
        </w:rPr>
        <w:t>Figure 3. Nepal cybercrime registered cases by fiscal year (FY2019-20 to FY2024-25). Source: Nepal Police Cyber Bureau (2025).</w:t>
      </w:r>
    </w:p>
    <w:p>
      <w:pPr>
        <w:pStyle w:val="Heading1"/>
        <w:spacing w:lineRule="auto" w:line="360" w:before="0" w:after="40"/>
        <w:rPr>
          <w:rFonts w:ascii="Times New Roman" w:hAnsi="Times New Roman" w:cs="Times New Roman"/>
          <w:sz w:val="32"/>
          <w:szCs w:val="32"/>
        </w:rPr>
      </w:pPr>
      <w:bookmarkStart w:id="22" w:name="__RefHeading___Toc559_3003181911"/>
      <w:bookmarkStart w:id="23" w:name="_Toc233700876"/>
      <w:bookmarkStart w:id="24" w:name="_Toc233700152"/>
      <w:bookmarkEnd w:id="22"/>
      <w:r>
        <w:rPr>
          <w:rFonts w:eastAsia="Times New Roman" w:cs="Times New Roman" w:ascii="Times New Roman" w:hAnsi="Times New Roman"/>
          <w:b/>
          <w:bCs/>
          <w:sz w:val="28"/>
          <w:szCs w:val="28"/>
        </w:rPr>
        <w:t>Cybersecurity Theories and Behavioural Factors in Security Decision-Making</w:t>
      </w:r>
      <w:bookmarkEnd w:id="23"/>
      <w:bookmarkEnd w:id="24"/>
    </w:p>
    <w:p>
      <w:pPr>
        <w:pStyle w:val="Normal"/>
        <w:spacing w:lineRule="auto" w:line="360" w:before="0" w:after="120"/>
        <w:jc w:val="both"/>
        <w:rPr/>
      </w:pPr>
      <w:r>
        <w:rPr>
          <w:rFonts w:eastAsia="Times New Roman"/>
          <w:szCs w:val="24"/>
        </w:rPr>
        <w:t>The theoretical foundations underpinning AHRID serve as design constraints rather than background literature: each framework was selected because it maps directly to a concrete architectural decision. Protection Motivation Theory explains why risk scores must be paired with actionable coping guidance to produce behavioural change. Prospect Theory explains why threat framing must be grounded in locally relevant, contextually familiar exemplars to overcome availability bias. The Technology Acceptance Model explains why explainability is a binding usability constraint for non-specialist users. Alternative frameworks, including the Health Belief Model and Deterrence Theory, were considered but excluded because they address general threat perception and compliance rather than the specific mechanisms through which adaptive training systems produce individual behavioural change (Siponen, 2000). The compliance budget concept (Beautement et al., 2008) also informed the AHRID governance model: employees have finite cognitive capacity for security tasks, and systems that impose excessive compliance burden reduce adoption regardless of perceived usefulness.</w:t>
      </w:r>
    </w:p>
    <w:p>
      <w:pPr>
        <w:pStyle w:val="Normal"/>
        <w:pBdr>
          <w:top w:val="single" w:sz="4" w:space="4" w:color="AAAAAA"/>
          <w:left w:val="single" w:sz="4" w:space="4" w:color="AAAAAA"/>
          <w:bottom w:val="single" w:sz="4" w:space="4" w:color="AAAAAA"/>
          <w:right w:val="single" w:sz="4" w:space="4" w:color="AAAAAA"/>
        </w:pBdr>
        <w:shd w:val="clear" w:color="auto" w:fill="F2F2F2"/>
        <w:spacing w:lineRule="auto" w:line="360" w:before="240" w:after="60"/>
        <w:jc w:val="center"/>
        <w:rPr/>
      </w:pPr>
      <w:r>
        <w:rPr>
          <w:rFonts w:eastAsia="Times New Roman"/>
          <w:i/>
          <w:iCs/>
          <w:color w:val="666666"/>
          <w:szCs w:val="24"/>
        </w:rPr>
        <w:t>[INSERT FIGURE 5: Integrated Theoretical Framework: Protection Motivation Theory, Prospect Theory, and Technology Acceptance Model Applied to AHRID Design. Replace this placeholder with the actual diagram before submission.]</w:t>
      </w:r>
    </w:p>
    <w:p>
      <w:pPr>
        <w:pStyle w:val="Normal"/>
        <w:spacing w:lineRule="auto" w:line="360" w:before="60" w:after="0"/>
        <w:rPr/>
      </w:pPr>
      <w:r>
        <w:rPr>
          <w:rFonts w:eastAsia="Times New Roman"/>
          <w:b/>
          <w:bCs/>
          <w:szCs w:val="24"/>
        </w:rPr>
        <w:t>Figure 5</w:t>
      </w:r>
    </w:p>
    <w:p>
      <w:pPr>
        <w:pStyle w:val="Normal"/>
        <w:spacing w:lineRule="auto" w:line="360" w:before="0" w:after="0"/>
        <w:jc w:val="both"/>
        <w:rPr/>
      </w:pPr>
      <w:r>
        <w:rPr>
          <w:rFonts w:eastAsia="Times New Roman"/>
          <w:i/>
          <w:iCs/>
          <w:szCs w:val="24"/>
        </w:rPr>
        <w:t>Integrated Theoretical Framework: Protection Motivation Theory, Prospect Theory, and Technology Acceptance Model Applied to AHRID Design.</w:t>
      </w:r>
      <w:r>
        <w:rPr>
          <w:rFonts w:eastAsia="Times New Roman"/>
          <w:szCs w:val="24"/>
        </w:rPr>
        <w:t xml:space="preserve"> Note. Each theory maps to a specific AHRID design constraint. PMT = Protection Motivation Theory; TAM = Technology Acceptance Model. Arrows indicate causal relationship between theoretical construct and system design decision.         </w:t>
      </w:r>
    </w:p>
    <w:p>
      <w:pPr>
        <w:pStyle w:val="Normal"/>
        <w:spacing w:lineRule="auto" w:line="360" w:before="0" w:after="120"/>
        <w:jc w:val="both"/>
        <w:rPr/>
      </w:pPr>
      <w:r>
        <w:rPr>
          <w:rFonts w:eastAsia="Times New Roman"/>
          <w:szCs w:val="24"/>
        </w:rPr>
        <w:t>Protection Motivation Theory, proposed by Rogers (1975, 1983) and subsequently validated in information security contexts (Floyd et al., 2000), argues that protective behaviour is jointly determined by two independent appraisal processes. Threat appraisal assesses perceived severity and personal vulnerability: an employee who believes a phishing attack will cause serious harm and that they are personally at risk is more likely to seek protection. Coping appraisal assesses response efficacy, self-efficacy, and response cost: the same employee will only act if they believe the recommended response is effective, that they are capable of performing it, and that it does not impose excessive burden. AHRID operationalises both appraisals simultaneously: the risk score addresses threat appraisal by quantifying individual vulnerability, while the SHAP explanation and targeted scenario address coping appraisal by identifying the specific behaviours driving the score and providing a low-cost, immediately actionable remediation step.</w:t>
      </w:r>
    </w:p>
    <w:p>
      <w:pPr>
        <w:pStyle w:val="Normal"/>
        <w:spacing w:lineRule="auto" w:line="360" w:before="0" w:after="120"/>
        <w:jc w:val="both"/>
        <w:rPr/>
      </w:pPr>
      <w:r>
        <w:rPr>
          <w:rFonts w:eastAsia="Times New Roman"/>
          <w:szCs w:val="24"/>
        </w:rPr>
        <w:t>Prospect Theory (Kahneman and Tversky, 1979) identifies three cognitive biases with direct cybersecurity relevance. Loss aversion causes employees to underweight familiar, high-probability risks such as everyday credential phishing in favour of vivid but statistically rare incidents receiving media coverage. The availability heuristic inflates perceived threat from attacks recently publicised in news cycles while suppressing awareness of chronic, low-visibility risks. Confirmation bias leads employees to selectively attend to security information that confirms existing mental models, dismissing guidance that challenges established habits. AHRID counteracts all three biases: live Open-Source Intelligence feed integration ensures scenarios reflect current, locally relevant threats rather than historical exemplars, directly addressing availability heuristic distortion, while adaptive scenario sequencing prioritises categories where individual performance data reveals the highest unacknowledged risk, counteracting confirmation bias.</w:t>
      </w:r>
    </w:p>
    <w:p>
      <w:pPr>
        <w:pStyle w:val="Normal"/>
        <w:spacing w:lineRule="auto" w:line="360" w:before="0" w:after="120"/>
        <w:jc w:val="both"/>
        <w:rPr/>
      </w:pPr>
      <w:r>
        <w:rPr>
          <w:rFonts w:eastAsia="Times New Roman"/>
          <w:szCs w:val="24"/>
        </w:rPr>
        <w:t>The Technology Acceptance Model (Davis, 1989), extended in the Unified Theory of Acceptance and Use of Technology (Venkatesh et al., 2003), identifies perceived usefulness and perceived ease of use as the primary determinants of voluntary technology adoption. In non-technical Small and Medium Enterprise environments, systems that present probabilistic risk scores without explanation are likely to be ignored or actively resisted: if an employee cannot understand why they have received a given risk rating, they cannot act on it, and the system fails to motivate the protective behaviour change it was designed to produce. Wogalter et al. (1999) established that warnings are acted upon only when they are understood; this finding generalises directly to automated risk score communication in non-technical employee contexts. SHAP TreeExplainer attribution directly addresses the perceived usefulness barrier by translating the Random Forest model’s probabilistic output into a specific, plain-language explanation identifying which behavioural patterns drove the score. Role-based access controls and a non-punitive governance framework address the perceived ease of use barrier by ensuring the platform is experienced as a development tool rather than a surveillance system. Research confirms that employees exposed to punitive security monitoring exhibit reduced compliance compared to those in transparent, non-punitive environments (Workman, 2008; Boss et al., 2015).</w:t>
      </w:r>
    </w:p>
    <w:p>
      <w:pPr>
        <w:pStyle w:val="Normal"/>
        <w:spacing w:lineRule="auto" w:line="276" w:before="240" w:after="0"/>
        <w:rPr/>
      </w:pPr>
      <w:r>
        <w:rPr>
          <w:rFonts w:eastAsia="Times New Roman"/>
          <w:b/>
          <w:bCs/>
          <w:szCs w:val="24"/>
        </w:rPr>
        <w:t>Table 2</w:t>
      </w:r>
    </w:p>
    <w:p>
      <w:pPr>
        <w:pStyle w:val="Normal"/>
        <w:spacing w:lineRule="auto" w:line="276" w:before="0" w:after="40"/>
        <w:rPr/>
      </w:pPr>
      <w:r>
        <w:rPr>
          <w:rFonts w:eastAsia="Times New Roman"/>
          <w:i/>
          <w:iCs/>
          <w:szCs w:val="24"/>
        </w:rPr>
        <w:t>Theoretical Framework to AHRID Design Decision Mapping</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1900"/>
        <w:gridCol w:w="2000"/>
        <w:gridCol w:w="2660"/>
        <w:gridCol w:w="2800"/>
      </w:tblGrid>
      <w:tr>
        <w:trPr/>
        <w:tc>
          <w:tcPr>
            <w:tcW w:w="19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Theory</w:t>
            </w:r>
          </w:p>
        </w:tc>
        <w:tc>
          <w:tcPr>
            <w:tcW w:w="20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Core Construct</w:t>
            </w:r>
          </w:p>
        </w:tc>
        <w:tc>
          <w:tcPr>
            <w:tcW w:w="266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Behavioural Implication</w:t>
            </w:r>
          </w:p>
        </w:tc>
        <w:tc>
          <w:tcPr>
            <w:tcW w:w="28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AHRID Design Decision</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PMT (Rogers, 1975, 1983)</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Threat appraisal</w:t>
            </w:r>
          </w:p>
        </w:tc>
        <w:tc>
          <w:tcPr>
            <w:tcW w:w="26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Perceived severity and vulnerability drive protective intent</w:t>
            </w:r>
          </w:p>
        </w:tc>
        <w:tc>
          <w:tcPr>
            <w:tcW w:w="2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OSINT real phishing domains as scenario source; SHAP severity scores</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PMT (Rogers, 1975, 1983)</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Coping appraisal</w:t>
            </w:r>
          </w:p>
        </w:tc>
        <w:tc>
          <w:tcPr>
            <w:tcW w:w="26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Response efficacy and low cost enable protective action</w:t>
            </w:r>
          </w:p>
        </w:tc>
        <w:tc>
          <w:tcPr>
            <w:tcW w:w="2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Non-punitive tier escalation; plain-language SHAP explanations</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Prospect Theory (Kahneman and Tversky, 1979)</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Loss aversion</w:t>
            </w:r>
          </w:p>
        </w:tc>
        <w:tc>
          <w:tcPr>
            <w:tcW w:w="26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Losses loom larger than equivalent gains</w:t>
            </w:r>
          </w:p>
        </w:tc>
        <w:tc>
          <w:tcPr>
            <w:tcW w:w="2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Scenarios framed as loss-avoidance; OSINT activates availability heuristic</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Prospect Theory (Kahneman and Tversky, 1979)</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Availability heuristic</w:t>
            </w:r>
          </w:p>
        </w:tc>
        <w:tc>
          <w:tcPr>
            <w:tcW w:w="26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Recalled threat frequency inflates perceived probability</w:t>
            </w:r>
          </w:p>
        </w:tc>
        <w:tc>
          <w:tcPr>
            <w:tcW w:w="2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Live OSINT ensures training reflects current threats, not historical templates</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TAM (Davis, 1989)</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Perceived usefulness</w:t>
            </w:r>
          </w:p>
        </w:tc>
        <w:tc>
          <w:tcPr>
            <w:tcW w:w="26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Utility belief predicts system adoption</w:t>
            </w:r>
          </w:p>
        </w:tc>
        <w:tc>
          <w:tcPr>
            <w:tcW w:w="2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SHAP provides actionable score rationale with direct personal relevance</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TAM (Davis, 1989)</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Perceived ease of use</w:t>
            </w:r>
          </w:p>
        </w:tc>
        <w:tc>
          <w:tcPr>
            <w:tcW w:w="26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Effort belief mediates adoption alongside utility</w:t>
            </w:r>
          </w:p>
        </w:tc>
        <w:tc>
          <w:tcPr>
            <w:tcW w:w="2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Low-burden micro-scenarios (5 to 10 min); no technical prerequisite</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Compliance Budget (Beautement et al., 2008)</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Bounded rationality</w:t>
            </w:r>
          </w:p>
        </w:tc>
        <w:tc>
          <w:tcPr>
            <w:tcW w:w="26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Employees have finite compliance capacity</w:t>
            </w:r>
          </w:p>
        </w:tc>
        <w:tc>
          <w:tcPr>
            <w:tcW w:w="2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Adaptive difficulty prevents cognitive overload; role-appropriate scenarios only</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PMT and TAM Synthesis</w:t>
            </w:r>
          </w:p>
        </w:tc>
        <w:tc>
          <w:tcPr>
            <w:tcW w:w="20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Non-punitiveness (Workman, 2008; Boss et al., 2015)</w:t>
            </w:r>
          </w:p>
        </w:tc>
        <w:tc>
          <w:tcPr>
            <w:tcW w:w="26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Punitive response cost increases abandonment</w:t>
            </w:r>
          </w:p>
        </w:tc>
        <w:tc>
          <w:tcPr>
            <w:tcW w:w="2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 punitive consequences; elevated tier triggers learning support not sanctions</w:t>
            </w:r>
          </w:p>
        </w:tc>
      </w:tr>
    </w:tbl>
    <w:p>
      <w:pPr>
        <w:pStyle w:val="Normal"/>
        <w:spacing w:lineRule="auto" w:line="276" w:before="40" w:after="300"/>
        <w:rPr/>
      </w:pPr>
      <w:r>
        <w:rPr>
          <w:rFonts w:eastAsia="Times New Roman"/>
          <w:szCs w:val="24"/>
        </w:rPr>
        <w:t>Note. PMT = Protection Motivation Theory. TAM = Technology Acceptance Model. Each design decision was validated against the relevant theoretical construct as a sprint-level review gate.</w:t>
      </w:r>
    </w:p>
    <w:p>
      <w:pPr>
        <w:pStyle w:val="Normal"/>
        <w:spacing w:before="120" w:after="120"/>
        <w:jc w:val="center"/>
        <w:rPr/>
      </w:pPr>
      <w:r>
        <w:rPr/>
        <w:drawing>
          <wp:inline distT="0" distB="0" distL="0" distR="0">
            <wp:extent cx="6336030" cy="3318510"/>
            <wp:effectExtent l="0" t="0" r="0" b="0"/>
            <wp:docPr id="8" name="Figure 5 Theoretical Framework" descr="Figure 5 Theoretic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5 Theoretical Framework" descr="Figure 5 Theoretical Framework"/>
                    <pic:cNvPicPr>
                      <a:picLocks noChangeAspect="1" noChangeArrowheads="1"/>
                    </pic:cNvPicPr>
                  </pic:nvPicPr>
                  <pic:blipFill>
                    <a:blip r:embed="rId10"/>
                    <a:stretch>
                      <a:fillRect/>
                    </a:stretch>
                  </pic:blipFill>
                  <pic:spPr bwMode="auto">
                    <a:xfrm>
                      <a:off x="0" y="0"/>
                      <a:ext cx="6336030" cy="3318510"/>
                    </a:xfrm>
                    <a:prstGeom prst="rect">
                      <a:avLst/>
                    </a:prstGeom>
                    <a:noFill/>
                  </pic:spPr>
                </pic:pic>
              </a:graphicData>
            </a:graphic>
          </wp:inline>
        </w:drawing>
      </w:r>
    </w:p>
    <w:p>
      <w:pPr>
        <w:pStyle w:val="Normal"/>
        <w:spacing w:before="60" w:after="300"/>
        <w:jc w:val="center"/>
        <w:rPr>
          <w:i/>
          <w:sz w:val="20"/>
          <w:szCs w:val="20"/>
        </w:rPr>
      </w:pPr>
      <w:r>
        <w:rPr>
          <w:i/>
          <w:sz w:val="20"/>
          <w:szCs w:val="20"/>
        </w:rPr>
        <w:t>Figure 5. Integrated theoretical framework showing how PMT, Prospect Theory, and TAM translate into AHRID design decisions.</w:t>
      </w:r>
    </w:p>
    <w:p>
      <w:pPr>
        <w:pStyle w:val="Heading1"/>
        <w:spacing w:lineRule="auto" w:line="360" w:before="0" w:after="40"/>
        <w:rPr>
          <w:rFonts w:ascii="Times New Roman" w:hAnsi="Times New Roman" w:cs="Times New Roman"/>
        </w:rPr>
      </w:pPr>
      <w:bookmarkStart w:id="25" w:name="__RefHeading___Toc561_3003181911"/>
      <w:bookmarkStart w:id="26" w:name="_Toc233700877"/>
      <w:bookmarkStart w:id="27" w:name="_Toc233700153"/>
      <w:bookmarkEnd w:id="25"/>
      <w:r>
        <w:rPr>
          <w:rFonts w:eastAsia="Times New Roman" w:cs="Times New Roman" w:ascii="Times New Roman" w:hAnsi="Times New Roman"/>
          <w:b/>
          <w:bCs/>
          <w:sz w:val="32"/>
          <w:szCs w:val="32"/>
        </w:rPr>
        <w:t>Integration of Machine Learning in Cybersecurity</w:t>
      </w:r>
      <w:bookmarkEnd w:id="26"/>
      <w:bookmarkEnd w:id="27"/>
    </w:p>
    <w:p>
      <w:pPr>
        <w:pStyle w:val="Normal"/>
        <w:spacing w:lineRule="auto" w:line="360" w:before="0" w:after="120"/>
        <w:jc w:val="both"/>
        <w:rPr/>
      </w:pPr>
      <w:r>
        <w:rPr>
          <w:rFonts w:eastAsia="Times New Roman"/>
          <w:szCs w:val="24"/>
        </w:rPr>
        <w:t>Machine learning has demonstrated effectiveness across domains sharing structural characteristics with cybersecurity human-risk assessment. Financial services employ ensemble classifiers for fraud detection under severe class imbalance, achieving false positive rates below 0.1% while maintaining recall above 90% (Dal Pozzolo et al., 2018). Healthcare applies unsupervised clustering for patient risk stratification, revealing subpopulation structures invisible to clinician intuition. Manufacturing leverages ensemble methods for predictive quality control in adversarial environments where defect patterns evolve over the operational lifetime of a product line. These applications share three characteristics directly relevant to AHRID: high-dimensional behavioural feature vectors where the signal-to-noise ratio is low; significant asymmetric costs of misclassification, where false negatives are more costly than false positives; and the requirement for interpretable outputs that non-specialist stakeholders can act upon without understanding the underlying mathematics.</w:t>
      </w:r>
    </w:p>
    <w:p>
      <w:pPr>
        <w:pStyle w:val="Normal"/>
        <w:spacing w:lineRule="auto" w:line="360" w:before="0" w:after="120"/>
        <w:jc w:val="both"/>
        <w:rPr/>
      </w:pPr>
      <w:r>
        <w:rPr>
          <w:rFonts w:eastAsia="Times New Roman"/>
          <w:szCs w:val="24"/>
        </w:rPr>
        <w:t>Within cybersecurity, machine learning adoption has concentrated on infrastructure threats rather than human behavioural signals. Security Information and Event Management platforms incorporate anomaly detection for network events; endpoint detection tools apply behavioural classifiers to process execution patterns; but neither category targets the employee behavioural trajectory that precedes social engineering compromise. AHRID addresses this gap through a novel three-stage ML pipeline in which K-Means clustering (k=5) first discovers five stable behavioural archetypes from unlabelled employee interaction logs across eight scenario categories. The resulting cluster label is then passed as an explicit input feature to a Random Forest classifier, which assigns a three-tier risk score from a 18-feature behavioural vector. This design choice, which encodes long-run archetype membership alongside instantaneous scenario performance, produced a 50.21 percentage-point improvement in macro F1 score over a rule-based baseline in evaluations conducted on synthetic behavioural data calibrated to plausible Kathmandu Valley Small and Medium Enterprise usage patterns. SHAP TreeExplainer attribution renders per-prediction reasoning in plain language, ensuring probabilistic outputs are actionable for non-technical users without specialist data science knowledge.</w:t>
      </w:r>
    </w:p>
    <w:p>
      <w:pPr>
        <w:pStyle w:val="Normal"/>
        <w:pBdr>
          <w:top w:val="single" w:sz="4" w:space="4" w:color="AAAAAA"/>
          <w:left w:val="single" w:sz="4" w:space="4" w:color="AAAAAA"/>
          <w:bottom w:val="single" w:sz="4" w:space="4" w:color="AAAAAA"/>
          <w:right w:val="single" w:sz="4" w:space="4" w:color="AAAAAA"/>
        </w:pBdr>
        <w:shd w:val="clear" w:color="auto" w:fill="F2F2F2"/>
        <w:spacing w:lineRule="auto" w:line="360" w:before="240" w:after="60"/>
        <w:jc w:val="center"/>
        <w:rPr/>
      </w:pPr>
      <w:r>
        <w:rPr>
          <w:rFonts w:eastAsia="Times New Roman"/>
          <w:i/>
          <w:iCs/>
          <w:color w:val="666666"/>
          <w:szCs w:val="24"/>
        </w:rPr>
        <w:t>[INSERT FIGURE 6: AHRID Dual Machine Learning Pipeline: Random Forest Risk Classification and K-Means Behavioural Archetype Discovery. Replace this placeholder with the actual diagram before submission.]</w:t>
      </w:r>
    </w:p>
    <w:p>
      <w:pPr>
        <w:pStyle w:val="Normal"/>
        <w:spacing w:lineRule="auto" w:line="360" w:before="60" w:after="0"/>
        <w:rPr/>
      </w:pPr>
      <w:r>
        <w:rPr>
          <w:rFonts w:eastAsia="Times New Roman"/>
          <w:b/>
          <w:bCs/>
          <w:szCs w:val="24"/>
        </w:rPr>
        <w:t>Figure 6</w:t>
      </w:r>
    </w:p>
    <w:p>
      <w:pPr>
        <w:pStyle w:val="Normal"/>
        <w:spacing w:lineRule="auto" w:line="360" w:before="0" w:after="0"/>
        <w:jc w:val="both"/>
        <w:rPr/>
      </w:pPr>
      <w:r>
        <w:rPr>
          <w:rFonts w:eastAsia="Times New Roman"/>
          <w:i/>
          <w:iCs/>
          <w:szCs w:val="24"/>
        </w:rPr>
        <w:t xml:space="preserve">AHRID Dual Machine Learning Pipeline: Random Forest Risk Classification and K-Means Behavioural Archetype Discovery </w:t>
      </w:r>
      <w:r>
        <w:rPr>
          <w:rFonts w:eastAsia="Times New Roman"/>
          <w:szCs w:val="24"/>
        </w:rPr>
        <w:t xml:space="preserve"> Note. Illustrates the three-stage pipeline where K-Means cluster membership is computed first and passed as an explicit 18th feature to the Random Forest classifier. SHAP = SHapley Additive exPlanations; OSINT = Open-Source Intelligence. AHRID employs a three-stage ML pipeline. The supervised component uses a Random Forest classifier (Breiman, 2001), selected over XGBoost and SVM for three reasons: robust performance on class-imbalanced behavioural data, native feature importance rankings supporting SHAP explainability, and resistance to overfitting on moderate-sized SME datasets. Class imbalance in the three-tier risk labels is addressed using SMOTE (Chawla et al., 2002), which generates synthetic minority-class samples in feature space rather than duplicating existing records. The unsupervised component uses K-Means clustering, chosen over HDBSCAN for superior interpretability with non-technical stakeholders (Artioli et al., 2024). Cluster membership feeds into the Random Forest as an input feature, forming a hybrid pipeline. Implementation uses scikit-learn 1.4 (Pedregosa et al., 2011). SHAP TreeExplainer (Lundberg &amp; Lee, 2017) provides per-prediction attribution, translating each risk assessment into plain-language factors.</w:t>
      </w:r>
    </w:p>
    <w:p>
      <w:pPr>
        <w:pStyle w:val="Normal"/>
        <w:rPr/>
      </w:pPr>
      <w:r>
        <w:rPr/>
      </w:r>
    </w:p>
    <w:p>
      <w:pPr>
        <w:pStyle w:val="Normal"/>
        <w:spacing w:lineRule="auto" w:line="276" w:before="240" w:after="0"/>
        <w:rPr/>
      </w:pPr>
      <w:r>
        <w:rPr>
          <w:rFonts w:eastAsia="Times New Roman"/>
          <w:b/>
          <w:bCs/>
          <w:szCs w:val="24"/>
        </w:rPr>
        <w:t>Table 3</w:t>
      </w:r>
    </w:p>
    <w:p>
      <w:pPr>
        <w:pStyle w:val="Normal"/>
        <w:spacing w:lineRule="auto" w:line="276" w:before="0" w:after="40"/>
        <w:rPr/>
      </w:pPr>
      <w:r>
        <w:rPr>
          <w:rFonts w:eastAsia="Times New Roman"/>
          <w:i/>
          <w:iCs/>
          <w:szCs w:val="24"/>
        </w:rPr>
        <w:t>ML Algorithm Comparison for Security Behaviour Classification</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2199"/>
        <w:gridCol w:w="1701"/>
        <w:gridCol w:w="1399"/>
        <w:gridCol w:w="2060"/>
        <w:gridCol w:w="2001"/>
      </w:tblGrid>
      <w:tr>
        <w:trPr/>
        <w:tc>
          <w:tcPr>
            <w:tcW w:w="2199"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Algorithm</w:t>
            </w:r>
          </w:p>
        </w:tc>
        <w:tc>
          <w:tcPr>
            <w:tcW w:w="1701"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Accuracy (Cybersecurity Benchmarks)</w:t>
            </w:r>
          </w:p>
        </w:tc>
        <w:tc>
          <w:tcPr>
            <w:tcW w:w="1399"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F1 Macro</w:t>
            </w:r>
          </w:p>
        </w:tc>
        <w:tc>
          <w:tcPr>
            <w:tcW w:w="206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Explainability</w:t>
            </w:r>
          </w:p>
        </w:tc>
        <w:tc>
          <w:tcPr>
            <w:tcW w:w="2001"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AHRID Decision</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Random Forest (AHRID)</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90.95% (this study); up to 99.80% in IDS benchmarks</w:t>
            </w:r>
          </w:p>
        </w:tc>
        <w:tc>
          <w:tcPr>
            <w:tcW w:w="13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0.8890 (post-SMOTE)</w:t>
            </w:r>
          </w:p>
        </w:tc>
        <w:tc>
          <w:tcPr>
            <w:tcW w:w="20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High via SHAP TreeExplainer</w:t>
            </w:r>
          </w:p>
        </w:tc>
        <w:tc>
          <w:tcPr>
            <w:tcW w:w="20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Selected as primary classifier</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XGBoost</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99.79% in IDS benchmarks</w:t>
            </w:r>
          </w:p>
        </w:tc>
        <w:tc>
          <w:tcPr>
            <w:tcW w:w="13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Not reported</w:t>
            </w:r>
          </w:p>
        </w:tc>
        <w:tc>
          <w:tcPr>
            <w:tcW w:w="20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Medium (SHAP compatible)</w:t>
            </w:r>
          </w:p>
        </w:tc>
        <w:tc>
          <w:tcPr>
            <w:tcW w:w="20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Excluded: marginal gain over RF with higher complexity</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Deep Neural Network</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98.66% in IDS benchmarks</w:t>
            </w:r>
          </w:p>
        </w:tc>
        <w:tc>
          <w:tcPr>
            <w:tcW w:w="13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Not reported</w:t>
            </w:r>
          </w:p>
        </w:tc>
        <w:tc>
          <w:tcPr>
            <w:tcW w:w="20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Low (black-box)</w:t>
            </w:r>
          </w:p>
        </w:tc>
        <w:tc>
          <w:tcPr>
            <w:tcW w:w="20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Excluded: violates TAM usefulness and IPA 2075 transparency obligations</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SVM (RBF kernel)</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~91% in IDS benchmarks</w:t>
            </w:r>
          </w:p>
        </w:tc>
        <w:tc>
          <w:tcPr>
            <w:tcW w:w="13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~0.37 (class imbalanced)</w:t>
            </w:r>
          </w:p>
        </w:tc>
        <w:tc>
          <w:tcPr>
            <w:tcW w:w="20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Low</w:t>
            </w:r>
          </w:p>
        </w:tc>
        <w:tc>
          <w:tcPr>
            <w:tcW w:w="20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Baseline comparison only; not selected</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K-Means (AHRID)</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N/A (unsupervised)</w:t>
            </w:r>
          </w:p>
        </w:tc>
        <w:tc>
          <w:tcPr>
            <w:tcW w:w="13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Silhouette = 0.265 at k=5</w:t>
            </w:r>
          </w:p>
        </w:tc>
        <w:tc>
          <w:tcPr>
            <w:tcW w:w="20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Medium (archetype labels)</w:t>
            </w:r>
          </w:p>
        </w:tc>
        <w:tc>
          <w:tcPr>
            <w:tcW w:w="20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Complementary pipeline; cluster label fed as RF feature</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Logistic Regression</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~85% in multi-class</w:t>
            </w:r>
          </w:p>
        </w:tc>
        <w:tc>
          <w:tcPr>
            <w:tcW w:w="13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Low with imbalance</w:t>
            </w:r>
          </w:p>
        </w:tc>
        <w:tc>
          <w:tcPr>
            <w:tcW w:w="20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High (coefficients)</w:t>
            </w:r>
          </w:p>
        </w:tc>
        <w:tc>
          <w:tcPr>
            <w:tcW w:w="20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Rejected: insufficient for 18-feature non-linear patterns</w:t>
            </w:r>
          </w:p>
        </w:tc>
      </w:tr>
    </w:tbl>
    <w:p>
      <w:pPr>
        <w:pStyle w:val="Normal"/>
        <w:spacing w:lineRule="auto" w:line="276" w:before="40" w:after="300"/>
        <w:rPr/>
      </w:pPr>
      <w:r>
        <w:rPr/>
        <w:t xml:space="preserve">Note. IDS = Intrusion Detection System benchmarks (ScienceDirect, 2024; MDPI, 2024). AHRID accuracy measured on 18-feature synthetic behavioural dataset with SMOTE and </w:t>
      </w:r>
      <w:r>
        <w:rPr/>
        <w:t>3</w:t>
      </w:r>
      <w:r>
        <w:rPr/>
        <w:t>-fold cross-validation. Algorithm selection prioritised explainability alongside accuracy to satisfy IPA 2075 transparency obligations.</w:t>
      </w:r>
    </w:p>
    <w:p>
      <w:pPr>
        <w:pStyle w:val="Heading1"/>
        <w:spacing w:lineRule="auto" w:line="360" w:before="0" w:after="40"/>
        <w:rPr>
          <w:rFonts w:ascii="Times New Roman" w:hAnsi="Times New Roman" w:cs="Times New Roman"/>
        </w:rPr>
      </w:pPr>
      <w:bookmarkStart w:id="28" w:name="__RefHeading___Toc563_3003181911"/>
      <w:bookmarkStart w:id="29" w:name="_Toc233700878"/>
      <w:bookmarkStart w:id="30" w:name="_Toc233700154"/>
      <w:bookmarkEnd w:id="28"/>
      <w:r>
        <w:rPr>
          <w:rFonts w:eastAsia="Times New Roman" w:cs="Times New Roman" w:ascii="Times New Roman" w:hAnsi="Times New Roman"/>
          <w:b/>
          <w:bCs/>
          <w:sz w:val="32"/>
          <w:szCs w:val="32"/>
        </w:rPr>
        <w:t>Research Aim</w:t>
      </w:r>
      <w:bookmarkEnd w:id="29"/>
      <w:bookmarkEnd w:id="30"/>
    </w:p>
    <w:p>
      <w:pPr>
        <w:pStyle w:val="Normal"/>
        <w:spacing w:lineRule="auto" w:line="360" w:before="0" w:after="120"/>
        <w:jc w:val="both"/>
        <w:rPr/>
      </w:pPr>
      <w:r>
        <w:rPr>
          <w:rFonts w:eastAsia="Times New Roman"/>
          <w:szCs w:val="24"/>
        </w:rPr>
        <w:t>The primary aim of this research is to design, develop, and evaluate the Adaptive Human-Risk Intelligence Dashboard: a cybersecurity awareness training platform that integrates live Open-Source Intelligence threat intelligence with behavioural machine learning to deliver personalised, explainable risk assessments and adaptive training scenarios to non-technical Small and Medium Enterprise employees in Kathmandu Valley, Nepal. This aim is operationalised through five interconnected sub-components:</w:t>
      </w:r>
    </w:p>
    <w:p>
      <w:pPr>
        <w:pStyle w:val="ListParagraph"/>
        <w:numPr>
          <w:ilvl w:val="0"/>
          <w:numId w:val="1"/>
        </w:numPr>
        <w:spacing w:lineRule="auto" w:line="360" w:before="0" w:after="60"/>
        <w:contextualSpacing/>
        <w:rPr/>
      </w:pPr>
      <w:r>
        <w:rPr>
          <w:rFonts w:eastAsia="Times New Roman"/>
          <w:szCs w:val="24"/>
        </w:rPr>
        <w:t>Analysing the cybersecurity threat landscape relevant to Kathmandu Valley SMEs and critically evaluating existing human-risk awareness platforms (KnowBe4, CybSafe, Proofpoint Security Awareness) to identify the capability gaps — localisation, affordability, and adaptive personalisation — that AHRID is designed to address.</w:t>
      </w:r>
    </w:p>
    <w:p>
      <w:pPr>
        <w:pStyle w:val="ListParagraph"/>
        <w:numPr>
          <w:ilvl w:val="0"/>
          <w:numId w:val="1"/>
        </w:numPr>
        <w:spacing w:lineRule="auto" w:line="360" w:before="0" w:after="60"/>
        <w:contextualSpacing/>
        <w:rPr/>
      </w:pPr>
      <w:r>
        <w:rPr>
          <w:rFonts w:eastAsia="Times New Roman"/>
          <w:szCs w:val="24"/>
        </w:rPr>
        <w:t>Investigating publicly accessible Open-Source Intelligence sources — specifically Phishing.Database and AlienVault OTX — and integrating live phishing and malicious URL feeds into adaptive scenario content generation across eight threat categories, with a 48-hour deduplication window and a maximum ingestion rate of twenty new scenarios per pipeline run.</w:t>
      </w:r>
    </w:p>
    <w:p>
      <w:pPr>
        <w:pStyle w:val="ListParagraph"/>
        <w:numPr>
          <w:ilvl w:val="0"/>
          <w:numId w:val="1"/>
        </w:numPr>
        <w:spacing w:lineRule="auto" w:line="360" w:before="0" w:after="60"/>
        <w:contextualSpacing/>
        <w:rPr/>
      </w:pPr>
      <w:r>
        <w:rPr>
          <w:rFonts w:eastAsia="Times New Roman"/>
          <w:szCs w:val="24"/>
        </w:rPr>
        <w:t>Designing and evaluating a three-stage machine learning pipeline: K-Means clustering (k=5, six input features, Silhouette=0.265) for unsupervised behavioural archetype discovery; Random Forest classification (18-feature vector, 200 trees, SMOTE-balanced four-class output) for risk-tier assignment; and SHAP TreeExplainer for plain-language per-prediction attribution accessible to non-technical users.</w:t>
      </w:r>
    </w:p>
    <w:p>
      <w:pPr>
        <w:pStyle w:val="ListParagraph"/>
        <w:numPr>
          <w:ilvl w:val="0"/>
          <w:numId w:val="1"/>
        </w:numPr>
        <w:spacing w:lineRule="auto" w:line="360" w:before="0" w:after="60"/>
        <w:contextualSpacing/>
        <w:rPr/>
      </w:pPr>
      <w:r>
        <w:rPr>
          <w:rFonts w:eastAsia="Times New Roman"/>
          <w:szCs w:val="24"/>
        </w:rPr>
        <w:t>Designing, developing, and technically evaluating AHRID through a five-phase, fifteen-sprint Agile methodology aligned with Design Science Research principles (Peffers et al., 2007), achieving 90.95% classification accuracy (macro F1=0.889, PR-AUC=0.940, Cohen’s κ=0.868) against a rule-based baseline, representing a 50.21 percentage-point improvement in macro F1.</w:t>
      </w:r>
    </w:p>
    <w:p>
      <w:pPr>
        <w:pStyle w:val="ListParagraph"/>
        <w:numPr>
          <w:ilvl w:val="0"/>
          <w:numId w:val="1"/>
        </w:numPr>
        <w:spacing w:lineRule="auto" w:line="360" w:before="0" w:after="60"/>
        <w:contextualSpacing/>
        <w:rPr/>
      </w:pPr>
      <w:r>
        <w:rPr>
          <w:rFonts w:eastAsia="Times New Roman"/>
          <w:szCs w:val="24"/>
        </w:rPr>
        <w:t>Evaluating platform effectiveness through pre-test and post-test security awareness assessment, documenting ethical obligations, and submitting a comprehensive academic thesis.</w:t>
      </w:r>
    </w:p>
    <w:p>
      <w:pPr>
        <w:pStyle w:val="Normal"/>
        <w:spacing w:lineRule="auto" w:line="360" w:before="0" w:after="120"/>
        <w:jc w:val="both"/>
        <w:rPr/>
      </w:pPr>
      <w:r>
        <w:rPr>
          <w:rFonts w:eastAsia="Times New Roman"/>
          <w:szCs w:val="24"/>
        </w:rPr>
        <w:t>Together, these five sub-components align with the six-phase Design Science Research Methodology of Peffers et al. (2007), ensuring each analytical phase is grounded in a documented problem and evaluated against measurable criteria.</w:t>
      </w:r>
    </w:p>
    <w:p>
      <w:pPr>
        <w:pStyle w:val="Heading1"/>
        <w:spacing w:lineRule="auto" w:line="360" w:before="0" w:after="40"/>
        <w:rPr>
          <w:rFonts w:ascii="Times New Roman" w:hAnsi="Times New Roman" w:cs="Times New Roman"/>
        </w:rPr>
      </w:pPr>
      <w:bookmarkStart w:id="31" w:name="__RefHeading___Toc565_3003181911"/>
      <w:bookmarkStart w:id="32" w:name="_Toc233700879"/>
      <w:bookmarkStart w:id="33" w:name="_Toc233700155"/>
      <w:bookmarkEnd w:id="31"/>
      <w:r>
        <w:rPr>
          <w:rFonts w:eastAsia="Times New Roman" w:cs="Times New Roman" w:ascii="Times New Roman" w:hAnsi="Times New Roman"/>
          <w:b/>
          <w:bCs/>
          <w:sz w:val="32"/>
          <w:szCs w:val="32"/>
        </w:rPr>
        <w:t>Research Objectives</w:t>
      </w:r>
      <w:bookmarkEnd w:id="32"/>
      <w:bookmarkEnd w:id="33"/>
    </w:p>
    <w:p>
      <w:pPr>
        <w:pStyle w:val="Normal"/>
        <w:spacing w:lineRule="auto" w:line="360"/>
        <w:jc w:val="both"/>
        <w:rPr/>
      </w:pPr>
      <w:r>
        <w:rPr>
          <w:rFonts w:eastAsia="Times New Roman"/>
          <w:szCs w:val="24"/>
        </w:rPr>
        <w:t>The following objectives operationalise the research aim. Each maps to one of three types: Learn and Understand (knowledge foundation), Design and Develop (system implementation and evaluation), or Feedback and Submit (validation and ethical review). Evidence of each objective should appear in the corresponding thesis section.</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450"/>
        <w:gridCol w:w="5209"/>
        <w:gridCol w:w="1501"/>
        <w:gridCol w:w="2200"/>
      </w:tblGrid>
      <w:tr>
        <w:trPr/>
        <w:tc>
          <w:tcPr>
            <w:tcW w:w="45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120"/>
              <w:rPr/>
            </w:pPr>
            <w:r>
              <w:rPr>
                <w:rFonts w:eastAsia="Times New Roman"/>
                <w:b/>
                <w:bCs/>
                <w:szCs w:val="24"/>
              </w:rPr>
              <w:t>#</w:t>
            </w:r>
          </w:p>
        </w:tc>
        <w:tc>
          <w:tcPr>
            <w:tcW w:w="5209"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120"/>
              <w:rPr/>
            </w:pPr>
            <w:r>
              <w:rPr>
                <w:rFonts w:eastAsia="Times New Roman"/>
                <w:b/>
                <w:bCs/>
                <w:szCs w:val="24"/>
              </w:rPr>
              <w:t>Objective</w:t>
            </w:r>
          </w:p>
        </w:tc>
        <w:tc>
          <w:tcPr>
            <w:tcW w:w="1501"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120"/>
              <w:rPr/>
            </w:pPr>
            <w:r>
              <w:rPr>
                <w:rFonts w:eastAsia="Times New Roman"/>
                <w:b/>
                <w:bCs/>
                <w:szCs w:val="24"/>
              </w:rPr>
              <w:t>Type</w:t>
            </w:r>
          </w:p>
        </w:tc>
        <w:tc>
          <w:tcPr>
            <w:tcW w:w="22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120"/>
              <w:rPr/>
            </w:pPr>
            <w:r>
              <w:rPr>
                <w:rFonts w:eastAsia="Times New Roman"/>
                <w:b/>
                <w:bCs/>
                <w:szCs w:val="24"/>
              </w:rPr>
              <w:t>Maps To</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1</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Analyse the cybersecurity threat landscape for non-technical SME staff in Kathmandu Valley and examine existing human-risk platforms (CybSafe, KnowBe4, Hoxhunt), identifying cognitive vulnerabilities, social engineering vectors, and gaps in live threat integration and explainability.</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Literature Review; Case Studies</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2</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Investigate OSINT threat intelligence sources (Phishing.Database and AlienVault OTX) and evaluate their suitability, coverage, and update frequency for automated scenario generation.</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Literature Review</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3</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Explore machine learning techniques applicable to behavioural risk classification and clustering, including ensemble methods, unsupervised archetype discovery, class imbalance handling, and model explainability frameworks.</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Literature Review; ML Background</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4</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Design, develop, and technically evaluate AHRID by integrating live threat ingestion with a Random Forest classifier, K-Means clustering, and SHAP explainability, assessing performance against a rule-based baseline through F1-score, PR-AUC, and Cohen's Kappa.</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Design &amp; Develop</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Methodology; Technical Development; Results</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5</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Evaluate AHRID's effectiveness through security awareness pre/post assessment and usability testing (SUS), and examine the ethical implications of automated behavioural risk scoring, documenting governance recommendations under Nepal's Individual Privacy Act 2075.</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Feedback &amp; Submit</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Evaluation; Ethics; Discussion; Conclusion</w:t>
            </w:r>
          </w:p>
        </w:tc>
      </w:tr>
    </w:tbl>
    <w:p>
      <w:pPr>
        <w:pStyle w:val="Heading1"/>
        <w:spacing w:lineRule="auto" w:line="360" w:before="0" w:after="40"/>
        <w:rPr>
          <w:rFonts w:ascii="Times New Roman" w:hAnsi="Times New Roman" w:cs="Times New Roman"/>
        </w:rPr>
      </w:pPr>
      <w:r>
        <w:rPr>
          <w:rFonts w:cs="Times New Roman" w:ascii="Times New Roman" w:hAnsi="Times New Roman"/>
        </w:rPr>
      </w:r>
    </w:p>
    <w:p>
      <w:pPr>
        <w:pStyle w:val="Heading1"/>
        <w:spacing w:lineRule="auto" w:line="360" w:before="0" w:after="40"/>
        <w:rPr>
          <w:rFonts w:ascii="Times New Roman" w:hAnsi="Times New Roman" w:cs="Times New Roman"/>
        </w:rPr>
      </w:pPr>
      <w:bookmarkStart w:id="34" w:name="__RefHeading___Toc1337_668865025"/>
      <w:bookmarkEnd w:id="34"/>
      <w:r>
        <w:rPr>
          <w:rFonts w:eastAsia="Times New Roman" w:cs="Times New Roman" w:ascii="Times New Roman" w:hAnsi="Times New Roman"/>
          <w:b/>
          <w:bCs/>
          <w:sz w:val="32"/>
          <w:szCs w:val="32"/>
        </w:rPr>
        <w:t>Contribution and Significance</w:t>
      </w:r>
    </w:p>
    <w:p>
      <w:pPr>
        <w:pStyle w:val="Normal"/>
        <w:spacing w:lineRule="auto" w:line="360" w:before="0" w:after="120"/>
        <w:jc w:val="both"/>
        <w:rPr/>
      </w:pPr>
      <w:r>
        <w:rPr>
          <w:rFonts w:eastAsia="Times New Roman"/>
          <w:szCs w:val="24"/>
        </w:rPr>
        <w:t>The significance of this research extends across multiple dimensions, combining technical innovation with practical security improvement for resource-constrained organisations. Social engineering susceptibility is a persistent behavioural characteristic amenable to targeted intervention rather than a fixed individual trait (Workman, 2008); AHRID operationalises this insight by continuously updating risk tiers as employee behaviour evolves. From a technical perspective, AHRID contributes a novel three-stage machine learning pipeline in which K-Means behavioural cluster labels serve as explicit input features to a Random Forest risk classifier. This design encodes long-run behavioural archetype membership within the instantaneous risk prediction, producing a personalisation mechanism that existing human-risk platforms, which rely on static role-based content assignment or simple response-rate heuristics, do not offer. The pipeline achieves 90.95% accuracy and a macro F1 of 0.8890, representing a 50.21 percentage-point improvement over the rule-based baseline, providing quantitative evidence that the archetype-informed architecture outperforms simpler approaches on imbalanced behavioural data. Protection Motivation Theory-grounded adaptive delivery (Rogers, 1975, 1983) ensures that each risk tier triggers a matched coping-appraisal intervention, maintaining theoretical coherence across the full user journey.</w:t>
      </w:r>
    </w:p>
    <w:p>
      <w:pPr>
        <w:pStyle w:val="Normal"/>
        <w:spacing w:lineRule="auto" w:line="360" w:before="0" w:after="120"/>
        <w:jc w:val="both"/>
        <w:rPr/>
      </w:pPr>
      <w:r>
        <w:rPr>
          <w:rFonts w:eastAsia="Times New Roman"/>
          <w:szCs w:val="24"/>
        </w:rPr>
        <w:t>The interdisciplinary grounding of the research contributes to the broader understanding of how behavioural theory can constrain engineering decisions in security applications. By deriving concrete system requirements from Protection Motivation Theory, Prospect Theory, and the Technology Acceptance Model rather than treating these frameworks as post-hoc justifications, the research demonstrates a methodology for theory-driven security platform design applicable across different organisational and cultural contexts.</w:t>
      </w:r>
    </w:p>
    <w:p>
      <w:pPr>
        <w:pStyle w:val="Normal"/>
        <w:spacing w:lineRule="auto" w:line="360" w:before="0" w:after="120"/>
        <w:jc w:val="both"/>
        <w:rPr/>
      </w:pPr>
      <w:r>
        <w:rPr>
          <w:rFonts w:eastAsia="Times New Roman"/>
          <w:szCs w:val="24"/>
        </w:rPr>
        <w:t>From a practical perspective, the research addresses the critical operational gap in affordable, locally contextualised security awareness tooling for Kathmandu Valley Small and Medium Enterprises. The platform is designed to operate on infrastructure accessible to budget-constrained organisations, integrating freely available Open-Source Intelligence feeds from Phishing.Database and AlienVault Open Threat Exchange rather than requiring proprietary threat intelligence subscriptions.</w:t>
      </w:r>
    </w:p>
    <w:p>
      <w:pPr>
        <w:pStyle w:val="Normal"/>
        <w:spacing w:lineRule="auto" w:line="360" w:before="0" w:after="120"/>
        <w:jc w:val="both"/>
        <w:rPr/>
      </w:pPr>
      <w:r>
        <w:rPr>
          <w:rFonts w:eastAsia="Times New Roman"/>
          <w:szCs w:val="24"/>
        </w:rPr>
        <w:t>The ethical framework developed as part of this research contributes directly to governance design for automated behavioural risk scoring systems in low-resource institutional contexts. Emerging AI ethics principles require that automated systems be transparent, accountable, and contestable by those they affect (Jobin et al., 2019). The framework explicitly addresses privacy obligations under Nepal’s Individual Privacy Act 2075, the risk of managerial misuse of individual risk scores absent non-punitive policy mandates, and the transparency requirements that arise when automated scores influence training content allocation for non-technical employees who lack the data literacy to interrogate model outputs independently.</w:t>
      </w:r>
    </w:p>
    <w:p>
      <w:pPr>
        <w:pStyle w:val="Normal"/>
        <w:spacing w:before="120" w:after="120"/>
        <w:jc w:val="center"/>
        <w:rPr/>
      </w:pPr>
      <w:r>
        <w:rPr/>
        <w:drawing>
          <wp:inline distT="0" distB="0" distL="0" distR="0">
            <wp:extent cx="5760085" cy="3199765"/>
            <wp:effectExtent l="0" t="0" r="0" b="0"/>
            <wp:docPr id="9" name="Figure 4 Platform Cost Barrier" descr="Figure 4 Platform Cost Bar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4 Platform Cost Barrier" descr="Figure 4 Platform Cost Barrier"/>
                    <pic:cNvPicPr>
                      <a:picLocks noChangeAspect="1" noChangeArrowheads="1"/>
                    </pic:cNvPicPr>
                  </pic:nvPicPr>
                  <pic:blipFill>
                    <a:blip r:embed="rId11"/>
                    <a:stretch>
                      <a:fillRect/>
                    </a:stretch>
                  </pic:blipFill>
                  <pic:spPr bwMode="auto">
                    <a:xfrm>
                      <a:off x="0" y="0"/>
                      <a:ext cx="5760085" cy="3199765"/>
                    </a:xfrm>
                    <a:prstGeom prst="rect">
                      <a:avLst/>
                    </a:prstGeom>
                    <a:noFill/>
                  </pic:spPr>
                </pic:pic>
              </a:graphicData>
            </a:graphic>
          </wp:inline>
        </w:drawing>
      </w:r>
    </w:p>
    <w:p>
      <w:pPr>
        <w:pStyle w:val="Normal"/>
        <w:spacing w:before="60" w:after="300"/>
        <w:jc w:val="center"/>
        <w:rPr>
          <w:i/>
          <w:sz w:val="20"/>
          <w:szCs w:val="20"/>
        </w:rPr>
      </w:pPr>
      <w:r>
        <w:rPr>
          <w:i/>
          <w:sz w:val="20"/>
          <w:szCs w:val="20"/>
        </w:rPr>
        <w:t>Figure 4. Annual per-user cost comparison of enterprise security awareness platforms vs AHRID. Source: G2 (2026); Consilien (2025).</w:t>
      </w:r>
    </w:p>
    <w:p>
      <w:pPr>
        <w:pStyle w:val="Heading1"/>
        <w:spacing w:lineRule="auto" w:line="360" w:before="0" w:after="40"/>
        <w:rPr>
          <w:rFonts w:ascii="Times New Roman" w:hAnsi="Times New Roman" w:cs="Times New Roman"/>
        </w:rPr>
      </w:pPr>
      <w:bookmarkStart w:id="35" w:name="__RefHeading___Toc1339_668865025"/>
      <w:bookmarkEnd w:id="35"/>
      <w:r>
        <w:rPr>
          <w:rFonts w:eastAsia="Times New Roman" w:cs="Times New Roman" w:ascii="Times New Roman" w:hAnsi="Times New Roman"/>
          <w:b/>
          <w:bCs/>
          <w:sz w:val="32"/>
          <w:szCs w:val="32"/>
        </w:rPr>
        <w:t>Justification of the Study</w:t>
      </w:r>
    </w:p>
    <w:p>
      <w:pPr>
        <w:pStyle w:val="Normal"/>
        <w:spacing w:lineRule="auto" w:line="360" w:before="0" w:after="120"/>
        <w:jc w:val="both"/>
        <w:rPr/>
      </w:pPr>
      <w:r>
        <w:rPr>
          <w:rFonts w:eastAsia="Times New Roman"/>
          <w:szCs w:val="24"/>
        </w:rPr>
        <w:t>The cybersecurity landscape facing Kathmandu Valley Small and Medium Enterprises has reached a scale that existing security awareness approaches cannot address effectively. The Nepal Police Cyber Bureau recorded 18,926 cybercrime incidents in FY2024–25, representing approximately 52 incidents per day — the product of a five-year escalation from 3,906 cases in FY2020–21 (Nepal Police, 2025). Financial scams and fraud constituted the dominant category at 40.82% (7,723 cases), an 87.8% year-on-year increase from the 4,112 fraud cases recorded in FY2023–24; account hacking represented a further 18.51% (3,503 cases) and fake or impersonated accounts 16.21% (3,067 cases). The true incidence is higher. These figures represent only formally reported incidents: academic consensus holds that cybercrime is systematically underreported in Small and Medium Enterprise contexts, particularly in emerging economies where reputational risk discourages disclosure and formal reporting mechanisms are unfamiliar to many business owners.</w:t>
      </w:r>
    </w:p>
    <w:p>
      <w:pPr>
        <w:pStyle w:val="Normal"/>
        <w:spacing w:lineRule="auto" w:line="360" w:before="0" w:after="120"/>
        <w:jc w:val="both"/>
        <w:rPr/>
      </w:pPr>
      <w:r>
        <w:rPr>
          <w:rFonts w:eastAsia="Times New Roman"/>
          <w:szCs w:val="24"/>
        </w:rPr>
        <w:t>These statistics reflect structural limitations in current security approaches rather than isolated failures. The fundamental challenge is a mismatch between the sophistication of modern social engineering threats and the analytical capabilities of generic, non-contextualised security awareness training. Verizon’s 2025 Data Breach Investigations Report found that 68% of breaches involve a human element; the majority of these succeed not because employees lack general awareness but because training does not adapt to individual behavioural patterns or local threat contexts. A platform that cannot personalise its content to the employee’s actual risk profile will fail to move behaviour at the margin where breaches occur.</w:t>
      </w:r>
    </w:p>
    <w:p>
      <w:pPr>
        <w:pStyle w:val="Normal"/>
        <w:spacing w:lineRule="auto" w:line="360" w:before="0" w:after="120"/>
        <w:jc w:val="both"/>
        <w:rPr/>
      </w:pPr>
      <w:r>
        <w:rPr>
          <w:rFonts w:eastAsia="Times New Roman"/>
          <w:szCs w:val="24"/>
        </w:rPr>
        <w:t>From an academic perspective, the development of an adaptive human-risk platform for a non-Western, resource-constrained Small and Medium Enterprise context contributes to a rapidly growing body of research in behavioural security data science. Most existing work in machine learning-assisted security awareness has been conducted in high-resource, English-language organisational contexts; AHRID extends this research to a Nepali-speaking, budget-constrained setting, testing whether behavioural archetype discovery and explainable risk classification generalise across institutional and linguistic contexts (Buczak &amp; Guven, 2016). Small and Medium Enterprise security posture is fundamentally constrained by the absence of formalised security policy structures that larger organisations take for granted (Kabanda, 2018). This academic gap, specifically the absence of empirically validated, adaptive security awareness systems for Nepali SME contexts, represents the primary scholarly justification for AHRID (IJMIR, 2025).</w:t>
      </w:r>
    </w:p>
    <w:p>
      <w:pPr>
        <w:pStyle w:val="Normal"/>
        <w:spacing w:lineRule="auto" w:line="360" w:before="0" w:after="120"/>
        <w:jc w:val="both"/>
        <w:rPr/>
      </w:pPr>
      <w:r>
        <w:rPr>
          <w:rFonts w:eastAsia="Times New Roman"/>
          <w:szCs w:val="24"/>
        </w:rPr>
        <w:t>Nepal’s rapid digital transformation amplifies the urgency of this research. Mobile internet penetration reached 76.4% of the population by 2024 (Kemp, 2025), while cybersecurity regulation remains nascent: the Individual Privacy Act 2075 and Cybercrime Act provisions provide a legal framework but enforcement capacity is limited, and no regulatory requirement currently mandates security awareness training for Small and Medium Enterprise employees. In this environment, the case for a low-cost, evidence-based platform rests not on regulatory compliance but on the quantifiable financial and reputational cost of successful phishing and social engineering attacks. Open-Source Intelligence pipelines provide a cost-effective mechanism for maintaining current threat context without proprietary intelligence subscriptions (Ahmad, 2018).</w:t>
      </w:r>
    </w:p>
    <w:p>
      <w:pPr>
        <w:pStyle w:val="Normal"/>
        <w:spacing w:lineRule="auto" w:line="360" w:before="0" w:after="120"/>
        <w:jc w:val="both"/>
        <w:rPr/>
      </w:pPr>
      <w:r>
        <w:rPr>
          <w:rFonts w:eastAsia="Times New Roman"/>
          <w:szCs w:val="24"/>
        </w:rPr>
        <w:t>This research operates under realistic expectations about achievable impact. AHRID does not claim to eliminate human-factor security risk; it claims to provide a measurable improvement in risk-tier classification accuracy and scenario relevance compared to static, non-adaptive alternatives. The three-stage machine learning pipeline has demonstrated accuracy of 90.95% and a macro F1 score of 0.8890 against a baseline F1 of 0.3868, representing a 50.21 percentage-point improvement. These metrics, obtained from synthetic behavioural data calibrated to plausible Small and Medium Enterprise usage patterns, provide empirical grounding for the platform’s core technical claim.</w:t>
      </w:r>
    </w:p>
    <w:p>
      <w:pPr>
        <w:pStyle w:val="Normal"/>
        <w:pBdr>
          <w:top w:val="single" w:sz="4" w:space="4" w:color="AAAAAA"/>
          <w:left w:val="single" w:sz="4" w:space="4" w:color="AAAAAA"/>
          <w:bottom w:val="single" w:sz="4" w:space="4" w:color="AAAAAA"/>
          <w:right w:val="single" w:sz="4" w:space="4" w:color="AAAAAA"/>
        </w:pBdr>
        <w:shd w:val="clear" w:color="auto" w:fill="F2F2F2"/>
        <w:spacing w:lineRule="auto" w:line="360" w:before="240" w:after="60"/>
        <w:jc w:val="center"/>
        <w:rPr/>
      </w:pPr>
      <w:r>
        <w:rPr>
          <w:rFonts w:eastAsia="Times New Roman"/>
          <w:i/>
          <w:iCs/>
          <w:color w:val="666666"/>
          <w:szCs w:val="24"/>
        </w:rPr>
        <w:t>[INSERT FIGURE 7: Five-Angle Justification Framework for AHRID: Empirical, Structural, Academic, Practical, and Epistemological Rationale. Replace this placeholder with the actual diagram before submission.]</w:t>
      </w:r>
    </w:p>
    <w:p>
      <w:pPr>
        <w:pStyle w:val="Normal"/>
        <w:spacing w:lineRule="auto" w:line="360" w:before="60" w:after="0"/>
        <w:rPr/>
      </w:pPr>
      <w:r>
        <w:rPr>
          <w:rFonts w:eastAsia="Times New Roman"/>
          <w:b/>
          <w:bCs/>
          <w:szCs w:val="24"/>
        </w:rPr>
        <w:t>Figure 7</w:t>
      </w:r>
    </w:p>
    <w:p>
      <w:pPr>
        <w:pStyle w:val="Normal"/>
        <w:spacing w:lineRule="auto" w:line="360" w:before="0" w:after="0"/>
        <w:rPr/>
      </w:pPr>
      <w:r>
        <w:rPr>
          <w:rFonts w:eastAsia="Times New Roman"/>
          <w:i/>
          <w:iCs/>
          <w:szCs w:val="24"/>
        </w:rPr>
        <w:t>Five-Angle Justification Framework for AHRID: Empirical, Structural, Academic, Practical, and Epistemological Rationale</w:t>
      </w:r>
    </w:p>
    <w:p>
      <w:pPr>
        <w:pStyle w:val="Normal"/>
        <w:spacing w:lineRule="auto" w:line="360" w:before="0" w:after="300"/>
        <w:rPr>
          <w:rFonts w:eastAsia="Times New Roman"/>
          <w:szCs w:val="24"/>
        </w:rPr>
      </w:pPr>
      <w:r>
        <w:rPr>
          <w:rFonts w:eastAsia="Times New Roman"/>
          <w:szCs w:val="24"/>
        </w:rPr>
        <w:t>Note. Pentagon infographic summarising the five justification angles. Data sources: Nepal Police (2025), Verizon (2025), IJMIR (2025), Kemp (2025), World Bank (2026).</w:t>
      </w:r>
    </w:p>
    <w:p>
      <w:pPr>
        <w:pStyle w:val="Normal"/>
        <w:spacing w:before="120" w:after="120"/>
        <w:jc w:val="center"/>
        <w:rPr/>
      </w:pPr>
      <w:r>
        <w:rPr/>
        <w:drawing>
          <wp:inline distT="0" distB="0" distL="0" distR="0">
            <wp:extent cx="5760085" cy="1955800"/>
            <wp:effectExtent l="0" t="0" r="0" b="0"/>
            <wp:docPr id="10" name="Figure 7 Justification Statistics" descr="Figure 7 Justification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7 Justification Statistics" descr="Figure 7 Justification Statistics"/>
                    <pic:cNvPicPr>
                      <a:picLocks noChangeAspect="1" noChangeArrowheads="1"/>
                    </pic:cNvPicPr>
                  </pic:nvPicPr>
                  <pic:blipFill>
                    <a:blip r:embed="rId12"/>
                    <a:stretch>
                      <a:fillRect/>
                    </a:stretch>
                  </pic:blipFill>
                  <pic:spPr bwMode="auto">
                    <a:xfrm>
                      <a:off x="0" y="0"/>
                      <a:ext cx="5760085" cy="1955800"/>
                    </a:xfrm>
                    <a:prstGeom prst="rect">
                      <a:avLst/>
                    </a:prstGeom>
                    <a:noFill/>
                  </pic:spPr>
                </pic:pic>
              </a:graphicData>
            </a:graphic>
          </wp:inline>
        </w:drawing>
      </w:r>
    </w:p>
    <w:p>
      <w:pPr>
        <w:pStyle w:val="Normal"/>
        <w:spacing w:before="60" w:after="300"/>
        <w:jc w:val="center"/>
        <w:rPr>
          <w:i/>
          <w:sz w:val="20"/>
          <w:szCs w:val="20"/>
        </w:rPr>
      </w:pPr>
      <w:r>
        <w:rPr>
          <w:i/>
          <w:sz w:val="20"/>
          <w:szCs w:val="20"/>
        </w:rPr>
        <w:t>Figure 7. Empirical justification for AHRID: Nepal cybercrime category breakdown (left) and global human-risk statistics (right). Sources: Nepal Police (2025); Verizon (2025); KnowBe4 (2025).</w:t>
      </w:r>
    </w:p>
    <w:p>
      <w:pPr>
        <w:pStyle w:val="Heading1"/>
        <w:spacing w:lineRule="auto" w:line="360" w:before="0" w:after="40"/>
        <w:rPr>
          <w:rFonts w:ascii="Times New Roman" w:hAnsi="Times New Roman" w:cs="Times New Roman"/>
        </w:rPr>
      </w:pPr>
      <w:r>
        <w:rPr>
          <w:rFonts w:cs="Times New Roman" w:ascii="Times New Roman" w:hAnsi="Times New Roman"/>
        </w:rPr>
      </w:r>
    </w:p>
    <w:p>
      <w:pPr>
        <w:pStyle w:val="Heading1"/>
        <w:spacing w:lineRule="auto" w:line="360" w:before="0" w:after="40"/>
        <w:rPr>
          <w:rFonts w:ascii="Times New Roman" w:hAnsi="Times New Roman" w:cs="Times New Roman"/>
        </w:rPr>
      </w:pPr>
      <w:bookmarkStart w:id="36" w:name="__RefHeading___Toc1341_668865025"/>
      <w:bookmarkEnd w:id="36"/>
      <w:r>
        <w:rPr>
          <w:rFonts w:eastAsia="Times New Roman" w:cs="Times New Roman" w:ascii="Times New Roman" w:hAnsi="Times New Roman"/>
          <w:b/>
          <w:bCs/>
          <w:sz w:val="32"/>
          <w:szCs w:val="32"/>
        </w:rPr>
        <w:t>Research Questions</w:t>
      </w:r>
    </w:p>
    <w:p>
      <w:pPr>
        <w:pStyle w:val="Normal"/>
        <w:spacing w:lineRule="auto" w:line="360" w:before="0" w:after="120"/>
        <w:jc w:val="both"/>
        <w:rPr/>
      </w:pPr>
      <w:r>
        <w:rPr>
          <w:rFonts w:eastAsia="Times New Roman"/>
          <w:szCs w:val="24"/>
        </w:rPr>
        <w:t>Two research questions bound the intellectual scope of this study, one addressing technical feasibility and one addressing ethical governance:</w:t>
      </w:r>
    </w:p>
    <w:p>
      <w:pPr>
        <w:pStyle w:val="Normal"/>
        <w:spacing w:lineRule="auto" w:line="360" w:before="0" w:after="120"/>
        <w:jc w:val="both"/>
        <w:rPr/>
      </w:pPr>
      <w:r>
        <w:rPr>
          <w:rFonts w:eastAsia="Times New Roman"/>
          <w:b/>
          <w:bCs/>
          <w:szCs w:val="24"/>
        </w:rPr>
        <w:t xml:space="preserve">RQ1 (Technical): </w:t>
      </w:r>
      <w:r>
        <w:rPr>
          <w:rFonts w:eastAsia="Times New Roman"/>
          <w:szCs w:val="24"/>
        </w:rPr>
        <w:t>How can an adaptive machine learning platform be designed to deliver personalised, locally contextualised cybersecurity training to non-technical employees of Small and Medium Enterprises in Kathmandu Valley, integrating live Open-Source Intelligence threat feeds, behavioural risk classification, and explainable per-prediction attribution to produce measurable improvements in security awareness outcomes?</w:t>
      </w:r>
    </w:p>
    <w:p>
      <w:pPr>
        <w:pStyle w:val="Normal"/>
        <w:spacing w:lineRule="auto" w:line="360" w:before="0" w:after="120"/>
        <w:jc w:val="both"/>
        <w:rPr/>
      </w:pPr>
      <w:r>
        <w:rPr>
          <w:rFonts w:eastAsia="Times New Roman"/>
          <w:b/>
          <w:bCs/>
          <w:szCs w:val="24"/>
        </w:rPr>
        <w:t xml:space="preserve">RQ2 (Ethical): </w:t>
      </w:r>
      <w:r>
        <w:rPr>
          <w:rFonts w:eastAsia="Times New Roman"/>
          <w:szCs w:val="24"/>
        </w:rPr>
        <w:t>What ethical obligations arise when deploying automated behavioural risk-scoring systems targeting non-technical employees in resource-constrained Small and Medium Enterprises, and how can transparency, non-punitiveness, data minimisation, and role-based access control be embedded as design constraints rather than post-hoc compliance measures?</w:t>
      </w:r>
    </w:p>
    <w:p>
      <w:pPr>
        <w:pStyle w:val="Heading1"/>
        <w:spacing w:lineRule="auto" w:line="360" w:before="0" w:after="40"/>
        <w:rPr>
          <w:rFonts w:ascii="Times New Roman" w:hAnsi="Times New Roman" w:cs="Times New Roman"/>
        </w:rPr>
      </w:pPr>
      <w:bookmarkStart w:id="37" w:name="__RefHeading___Toc1343_668865025"/>
      <w:bookmarkEnd w:id="37"/>
      <w:r>
        <w:rPr>
          <w:rFonts w:eastAsia="Times New Roman" w:cs="Times New Roman" w:ascii="Times New Roman" w:hAnsi="Times New Roman"/>
          <w:b/>
          <w:bCs/>
          <w:sz w:val="32"/>
          <w:szCs w:val="32"/>
        </w:rPr>
        <w:t>Research Hypotheses</w:t>
      </w:r>
    </w:p>
    <w:p>
      <w:pPr>
        <w:pStyle w:val="Normal"/>
        <w:spacing w:lineRule="auto" w:line="360" w:before="240" w:after="60"/>
        <w:jc w:val="both"/>
        <w:rPr/>
      </w:pPr>
      <w:r>
        <w:rPr>
          <w:rFonts w:eastAsia="Times New Roman"/>
          <w:b/>
          <w:bCs/>
          <w:szCs w:val="24"/>
        </w:rPr>
        <w:t>Hypothesis 1 – Technical</w:t>
      </w:r>
    </w:p>
    <w:p>
      <w:pPr>
        <w:pStyle w:val="Normal"/>
        <w:spacing w:lineRule="auto" w:line="360" w:before="0" w:after="120"/>
        <w:jc w:val="both"/>
        <w:rPr/>
      </w:pPr>
      <w:r>
        <w:rPr>
          <w:rFonts w:eastAsia="Times New Roman"/>
          <w:szCs w:val="24"/>
        </w:rPr>
        <w:t>A three-stage machine learning pipeline combining K-Means behavioural archetype discovery (five archetypes, 6-feature input vector), Random Forest risk classification (18-feature behavioural vector, 200 decision trees, SMOTE-balanced four-class output), and SHAP TreeExplainer per-prediction attribution — integrated with live Open-Source Intelligence threat feed ingestion — will achieve statistically significant improvements in risk-tier classification accuracy (macro F1 &gt; 0.85, Cohen’s κ &gt; 0.85) and training personalisation relevance compared to a rule-based scoring baseline and static training content delivery, when evaluated on synthetic behavioural data calibrated to non-technical Small and Medium Enterprise employee usage patterns in Kathmandu Valley, Nepal. The cluster separation achieved (Silhouette = 0.265) is acknowledged as weak-to-moderate, reflecting inherent archetype overlap within a homogeneous non-technical employee population; this limitation is addressed through downstream Random Forest classification rather than relying on cluster boundaries alone.</w:t>
      </w:r>
    </w:p>
    <w:p>
      <w:pPr>
        <w:pStyle w:val="Normal"/>
        <w:spacing w:lineRule="auto" w:line="360" w:before="240" w:after="60"/>
        <w:jc w:val="both"/>
        <w:rPr/>
      </w:pPr>
      <w:r>
        <w:rPr>
          <w:rFonts w:eastAsia="Times New Roman"/>
          <w:b/>
          <w:bCs/>
          <w:szCs w:val="24"/>
        </w:rPr>
        <w:t>Hypothesis 2 – Ethical</w:t>
      </w:r>
    </w:p>
    <w:p>
      <w:pPr>
        <w:pStyle w:val="Normal"/>
        <w:spacing w:lineRule="auto" w:line="360" w:before="0" w:after="120"/>
        <w:jc w:val="both"/>
        <w:rPr/>
      </w:pPr>
      <w:r>
        <w:rPr>
          <w:rFonts w:eastAsia="Times New Roman"/>
          <w:szCs w:val="24"/>
        </w:rPr>
        <w:t>While adaptive behavioural risk-scoring systems can improve cybersecurity awareness outcomes for non-technical Small and Medium Enterprise employees, deployment without embedded transparency mechanisms, explicit non-punitive governance policies documented in an organisational security awareness charter, and role-based access controls preventing managerial access to individual risk score histories may erode employee trust, generate adoption resistance, and conflict with data minimisation and purpose-limitation principles under Nepal’s Individual Privacy Act 2075 and internationally recognised data protection standards.</w:t>
      </w:r>
    </w:p>
    <w:p>
      <w:pPr>
        <w:pStyle w:val="Heading1"/>
        <w:spacing w:lineRule="auto" w:line="360" w:before="0" w:after="40"/>
        <w:rPr>
          <w:rFonts w:ascii="Times New Roman" w:hAnsi="Times New Roman" w:cs="Times New Roman"/>
        </w:rPr>
      </w:pPr>
      <w:r>
        <w:rPr>
          <w:rFonts w:eastAsia="Times New Roman" w:cs="Times New Roman" w:ascii="Times New Roman" w:hAnsi="Times New Roman"/>
          <w:b/>
          <w:bCs/>
          <w:sz w:val="32"/>
          <w:szCs w:val="32"/>
        </w:rPr>
        <w:t>Scope &amp; Limitations</w:t>
      </w:r>
    </w:p>
    <w:p>
      <w:pPr>
        <w:pStyle w:val="Normal"/>
        <w:spacing w:lineRule="auto" w:line="360" w:before="0" w:after="120"/>
        <w:jc w:val="both"/>
        <w:rPr/>
      </w:pPr>
      <w:r>
        <w:rPr>
          <w:rFonts w:eastAsia="Times New Roman"/>
          <w:szCs w:val="24"/>
        </w:rPr>
        <w:t>This research is bounded by four explicit constraints. Geographically, the study focuses on Small and Medium Enterprise organisations operating within Kathmandu Valley, Nepal; findings are not generalised to rural Nepali contexts or other South Asian markets without further empirical validation. Organisationally, AHRID targets non-technical employees in roles such as administration, finance, and customer service; IT personnel who already possess baseline cybersecurity literacy are excluded from scope. Technically, machine learning evaluation is conducted on 1,050 synthetic behavioural profiles calibrated to plausible Kathmandu Valley SME usage patterns across eight threat categories; no real employee interaction data was collected, ensuring compliance with Nepal’s Individual Privacy Act 2075 and eliminating the consent obligations impractical in a desk-based research design. The K-Means clustering component achieves a Silhouette score of 0.265, indicating weak-to-moderate cluster separation; this reflects inherent behavioural overlap within a homogeneous non-technical employee population and is treated as an acknowledged limitation rather than a design failure — downstream Random Forest classification operates on the full 18-feature vector and is not bounded by cluster quality alone. Methodologically, this is a desk-based Design Science Research study: it does not include a longitudinal deployment study of AHRID in live organisational environments, and no claims are made about sustained behavioural change beyond the pre-test and post-test awareness assessment window. The Open-Source Intelligence pipeline integrates only read-only, publicly available threat feeds and does not involve active network scanning, penetration testing, or offensive security operations.</w:t>
      </w:r>
    </w:p>
    <w:p>
      <w:pPr>
        <w:pStyle w:val="Heading1"/>
        <w:spacing w:lineRule="auto" w:line="360" w:before="0" w:after="40"/>
        <w:rPr>
          <w:rFonts w:ascii="Times New Roman" w:hAnsi="Times New Roman" w:cs="Times New Roman"/>
        </w:rPr>
      </w:pPr>
      <w:r>
        <w:rPr>
          <w:rFonts w:eastAsia="Times New Roman" w:cs="Times New Roman" w:ascii="Times New Roman" w:hAnsi="Times New Roman"/>
          <w:b/>
          <w:bCs/>
          <w:sz w:val="32"/>
          <w:szCs w:val="32"/>
        </w:rPr>
        <w:t>12. Research Methodology</w:t>
      </w:r>
    </w:p>
    <w:p>
      <w:pPr>
        <w:pStyle w:val="Normal"/>
        <w:spacing w:lineRule="auto" w:line="360" w:before="0" w:after="120"/>
        <w:jc w:val="both"/>
        <w:rPr/>
      </w:pPr>
      <w:r>
        <w:rPr>
          <w:rFonts w:eastAsia="Times New Roman"/>
          <w:szCs w:val="24"/>
        </w:rPr>
        <w:t>This study adopts a desk-based Design Science Research (DSR) methodology. This is a well-established paradigm for constructing and evaluating technology artefacts that address real-world information systems problems (Hevner et al., 2004). DSR was selected because AHRID’s primary objective is to build a functional, evaluable artefact: specifically, a machine learning-driven adaptive training platform, rather than test a pre-existing system under controlled experimental conditions. March and Smith (1995) distinguish design research from natural science research precisely on this axis: where natural science seeks to describe and predict, design research seeks to construct and evaluate artefacts whose utility is demonstrated through rigorous evaluation against the problem context they were built to address.</w:t>
      </w:r>
    </w:p>
    <w:p>
      <w:pPr>
        <w:pStyle w:val="Normal"/>
        <w:spacing w:lineRule="auto" w:line="360" w:before="0" w:after="120"/>
        <w:jc w:val="both"/>
        <w:rPr/>
      </w:pPr>
      <w:r>
        <w:rPr>
          <w:rFonts w:eastAsia="Times New Roman"/>
          <w:szCs w:val="24"/>
        </w:rPr>
        <w:t>The design process follows the six-phase DSRM process model of Peffers et al. (2007): problem identification and motivation; definition of objectives for a solution; design and development; demonstration; evaluation; and communication. These six phases were operationalised as five AHRID project phases: requirements elicitation; literature review; machine learning pipeline development; system integration; and evaluation. These phases were executed across fifteen Agile sprints between January and July 2026. Agile’s iterative sprint cadence was selected because the evolving cyber threat landscape demands progressive refinement: as Hevner et al. (2004) observe through their seven DSR guidelines, artefact construction is itself a search process that must iterate between build-and-evaluate cycles to converge on a viable solution. Each five-sprint phase concluded with a formal evaluation gate validating ML performance, OSINT data currency, and ethics compliance before the subsequent phase commenced.</w:t>
      </w:r>
    </w:p>
    <w:p>
      <w:pPr>
        <w:pStyle w:val="Normal"/>
        <w:spacing w:lineRule="auto" w:line="360" w:before="0" w:after="120"/>
        <w:jc w:val="both"/>
        <w:rPr/>
      </w:pPr>
      <w:r>
        <w:rPr>
          <w:rFonts w:eastAsia="Times New Roman"/>
          <w:szCs w:val="24"/>
        </w:rPr>
        <w:t>Data strategy was governed by ethical and practical constraints arising from the desk-based nature of this research. No live user study was conducted; machine learning models were trained and evaluated on synthetic behavioural data calibrated to plausible Kathmandu Valley SME interaction patterns, informed by Nepal Police Cyber Bureau incident profiles documenting 18,926 cybercrime cases in fiscal year 2024–25 (Nepal Police, 2025), published behavioural security research (Hadlington, 2017), and the Verizon 2025 Data Breach Investigations Report, which documents human involvement in 60% of confirmed breaches across 22,052 global security incidents. OSINT integration used two read-only, publicly available threat feeds: Phishing.Database, which catalogues active phishing domains, and AlienVault OTX, which aggregates over 19 million threat indicators daily from more than 100,000 security researchers across 140 countries (LevelBlue, 2024). No network scanning, credential testing, or offensive security operations were conducted at any stage.</w:t>
      </w:r>
    </w:p>
    <w:p>
      <w:pPr>
        <w:pStyle w:val="Normal"/>
        <w:spacing w:lineRule="auto" w:line="360" w:before="0" w:after="120"/>
        <w:jc w:val="both"/>
        <w:rPr/>
      </w:pPr>
      <w:r>
        <w:rPr/>
        <w:t>Machine learning model development followed an 80/20 stratified train-test split with three-fold cross-validation to mitigate overfitting risk. Class imbalance, a prevalent challenge in security behaviour datasets where lower-risk profiles dominate, was addressed through SMOTE (Synthetic Minority Over-Sampling Technique) (Chawla et al., 2002), which generates synthetic minority-class observations to produce a balanced training distribution. The K-Means clustering pipeline was evaluated across k=2 through k=8 using the silhouette of 0.265). Ethical compliance was embedded as a formal review gate at the conclusion of each Agile phase rather than deferred to a post-hoc audit, consistent with the DSR principle that evaluation is iterative and concurrent rather than terminal (Hevner et al., 2004). Five principal project risks were identified and tracked across all fifteen sprints, as documented in Table 5 below.</w:t>
      </w:r>
    </w:p>
    <w:p>
      <w:pPr>
        <w:pStyle w:val="Normal"/>
        <w:spacing w:lineRule="auto" w:line="276" w:before="120" w:after="40"/>
        <w:rPr/>
      </w:pPr>
      <w:r>
        <w:rPr>
          <w:rFonts w:eastAsia="Times New Roman"/>
          <w:b/>
          <w:bCs/>
          <w:szCs w:val="24"/>
        </w:rPr>
        <w:t>Table 5</w:t>
      </w:r>
    </w:p>
    <w:p>
      <w:pPr>
        <w:pStyle w:val="Normal"/>
        <w:spacing w:lineRule="auto" w:line="276" w:before="0" w:after="40"/>
        <w:rPr/>
      </w:pPr>
      <w:r>
        <w:rPr>
          <w:rFonts w:eastAsia="Times New Roman"/>
          <w:i/>
          <w:iCs/>
          <w:szCs w:val="24"/>
        </w:rPr>
        <w:t>AHRID Project Risk Register: Five Principal Risks Across 15 Sprints</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2999"/>
        <w:gridCol w:w="901"/>
        <w:gridCol w:w="899"/>
        <w:gridCol w:w="3361"/>
        <w:gridCol w:w="1200"/>
      </w:tblGrid>
      <w:tr>
        <w:trPr/>
        <w:tc>
          <w:tcPr>
            <w:tcW w:w="2999"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60"/>
              <w:rPr/>
            </w:pPr>
            <w:r>
              <w:rPr>
                <w:rFonts w:eastAsia="Times New Roman"/>
                <w:b/>
                <w:bCs/>
                <w:szCs w:val="24"/>
              </w:rPr>
              <w:t>Risk</w:t>
            </w:r>
          </w:p>
        </w:tc>
        <w:tc>
          <w:tcPr>
            <w:tcW w:w="901"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60"/>
              <w:rPr/>
            </w:pPr>
            <w:r>
              <w:rPr>
                <w:rFonts w:eastAsia="Times New Roman"/>
                <w:b/>
                <w:bCs/>
                <w:szCs w:val="24"/>
              </w:rPr>
              <w:t>Likelihood</w:t>
            </w:r>
          </w:p>
        </w:tc>
        <w:tc>
          <w:tcPr>
            <w:tcW w:w="899"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60"/>
              <w:rPr/>
            </w:pPr>
            <w:r>
              <w:rPr>
                <w:rFonts w:eastAsia="Times New Roman"/>
                <w:b/>
                <w:bCs/>
                <w:szCs w:val="24"/>
              </w:rPr>
              <w:t>Impact</w:t>
            </w:r>
          </w:p>
        </w:tc>
        <w:tc>
          <w:tcPr>
            <w:tcW w:w="3361"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60"/>
              <w:rPr/>
            </w:pPr>
            <w:r>
              <w:rPr>
                <w:rFonts w:eastAsia="Times New Roman"/>
                <w:b/>
                <w:bCs/>
                <w:szCs w:val="24"/>
              </w:rPr>
              <w:t>Mitigation Strategy</w:t>
            </w:r>
          </w:p>
        </w:tc>
        <w:tc>
          <w:tcPr>
            <w:tcW w:w="12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60"/>
              <w:rPr/>
            </w:pPr>
            <w:r>
              <w:rPr>
                <w:rFonts w:eastAsia="Times New Roman"/>
                <w:b/>
                <w:bCs/>
                <w:szCs w:val="24"/>
              </w:rPr>
              <w:t>Status</w:t>
            </w:r>
          </w:p>
        </w:tc>
      </w:tr>
      <w:tr>
        <w:trPr/>
        <w:tc>
          <w:tcPr>
            <w:tcW w:w="29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Synthetic data not reflective of real Nepal SME behaviour</w:t>
            </w:r>
          </w:p>
        </w:tc>
        <w:tc>
          <w:tcPr>
            <w:tcW w:w="9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Medium</w:t>
            </w:r>
          </w:p>
        </w:tc>
        <w:tc>
          <w:tcPr>
            <w:tcW w:w="8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High</w:t>
            </w:r>
          </w:p>
        </w:tc>
        <w:tc>
          <w:tcPr>
            <w:tcW w:w="336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Calibrated to Nepal Police (2025) incident profiles and peer-reviewed behavioural security literature; disclosed as primary limitation in Sections 25 and 27.</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Mitigated</w:t>
            </w:r>
          </w:p>
        </w:tc>
      </w:tr>
      <w:tr>
        <w:trPr/>
        <w:tc>
          <w:tcPr>
            <w:tcW w:w="29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OSINT feeds (Phishing.Database; AlienVault OTX) returning incomplete or stale data</w:t>
            </w:r>
          </w:p>
        </w:tc>
        <w:tc>
          <w:tcPr>
            <w:tcW w:w="9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Low</w:t>
            </w:r>
          </w:p>
        </w:tc>
        <w:tc>
          <w:tcPr>
            <w:tcW w:w="8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Medium</w:t>
            </w:r>
          </w:p>
        </w:tc>
        <w:tc>
          <w:tcPr>
            <w:tcW w:w="336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Read-only daily refresh cycles with cached scenario fallback; OSINT currency validated at each sprint boundary.</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Mitigated</w:t>
            </w:r>
          </w:p>
        </w:tc>
      </w:tr>
      <w:tr>
        <w:trPr/>
        <w:tc>
          <w:tcPr>
            <w:tcW w:w="29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Random Forest overfitting to synthetic training patterns</w:t>
            </w:r>
          </w:p>
        </w:tc>
        <w:tc>
          <w:tcPr>
            <w:tcW w:w="9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Medium</w:t>
            </w:r>
          </w:p>
        </w:tc>
        <w:tc>
          <w:tcPr>
            <w:tcW w:w="8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High</w:t>
            </w:r>
          </w:p>
        </w:tc>
        <w:tc>
          <w:tcPr>
            <w:tcW w:w="336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t>three-fold cross-validation; SMOTE balancing; 80/20 stratified train-test split; performance validated on held-out test set.</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Mitigated</w:t>
            </w:r>
          </w:p>
        </w:tc>
      </w:tr>
      <w:tr>
        <w:trPr/>
        <w:tc>
          <w:tcPr>
            <w:tcW w:w="29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IPA 2075 compliance gap arising from data collection</w:t>
            </w:r>
          </w:p>
        </w:tc>
        <w:tc>
          <w:tcPr>
            <w:tcW w:w="9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Low</w:t>
            </w:r>
          </w:p>
        </w:tc>
        <w:tc>
          <w:tcPr>
            <w:tcW w:w="8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High</w:t>
            </w:r>
          </w:p>
        </w:tc>
        <w:tc>
          <w:tcPr>
            <w:tcW w:w="336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No PII collected at any pipeline stage; all training data synthetic; ethics review gate embedded at conclusion of each Agile phase.</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Mitigated</w:t>
            </w:r>
          </w:p>
        </w:tc>
      </w:tr>
      <w:tr>
        <w:trPr>
          <w:trHeight w:val="118" w:hRule="atLeast"/>
        </w:trPr>
        <w:tc>
          <w:tcPr>
            <w:tcW w:w="29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Sprint timeline slippage beyond 15-sprint schedule (Jan-Jul 2026)</w:t>
            </w:r>
          </w:p>
        </w:tc>
        <w:tc>
          <w:tcPr>
            <w:tcW w:w="9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Medium</w:t>
            </w:r>
          </w:p>
        </w:tc>
        <w:tc>
          <w:tcPr>
            <w:tcW w:w="8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Medium</w:t>
            </w:r>
          </w:p>
        </w:tc>
        <w:tc>
          <w:tcPr>
            <w:tcW w:w="336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MoSCoW-prioritised sprint backlog; weekly supervisor check-ins; academic milestone tracking against university submission calendar.</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60"/>
              <w:rPr/>
            </w:pPr>
            <w:r>
              <w:rPr>
                <w:rFonts w:eastAsia="Times New Roman"/>
                <w:szCs w:val="24"/>
              </w:rPr>
              <w:t>Resolved</w:t>
            </w:r>
          </w:p>
        </w:tc>
      </w:tr>
    </w:tbl>
    <w:p>
      <w:pPr>
        <w:pStyle w:val="Normal"/>
        <w:spacing w:lineRule="auto" w:line="276" w:before="40" w:after="300"/>
        <w:rPr/>
      </w:pPr>
      <w:r>
        <w:rPr>
          <w:rFonts w:eastAsia="Times New Roman"/>
          <w:szCs w:val="24"/>
        </w:rPr>
        <w:t>Note. Likelihood and Impact ratings reflect the researcher’s sprint-level assessment. All five risks were fully mitigated or resolved prior to final evaluation.</w:t>
      </w:r>
    </w:p>
    <w:p>
      <w:pPr>
        <w:pStyle w:val="Normal"/>
        <w:spacing w:lineRule="auto" w:line="360" w:before="0" w:after="120"/>
        <w:jc w:val="both"/>
        <w:rPr/>
      </w:pPr>
      <w:r>
        <w:rPr>
          <w:rFonts w:eastAsia="Times New Roman"/>
          <w:szCs w:val="24"/>
        </w:rPr>
        <w:t>Nonetheless, this methodology carries inherent limitations that must be acknowledged. The reliance on synthetic data means that AHRID’s performance characteristics have not been validated against live employee interaction records in deployed organisational environments; the five archetypal user profiles identified by K-Means clustering reflect calibrated behavioural assumptions rather than empirically observed Kathmandu Valley SME patterns. The absence of a longitudinal deployment study further constrains causal claims regarding sustained behavioural change beyond the pre-test and post-test assessment window. These constraints are explicitly acknowledged throughout the findings sections and factored into the discussion of generalisability and future research directions in the conclusion.</w:t>
      </w:r>
    </w:p>
    <w:p>
      <w:pPr>
        <w:pStyle w:val="Normal"/>
        <w:spacing w:before="120" w:after="120"/>
        <w:jc w:val="center"/>
        <w:rPr/>
      </w:pPr>
      <w:r>
        <w:rPr/>
        <w:drawing>
          <wp:inline distT="0" distB="0" distL="0" distR="0">
            <wp:extent cx="4799965" cy="2200275"/>
            <wp:effectExtent l="0" t="0" r="0" b="0"/>
            <wp:docPr id="11" name="Figure 8 Silhouette Score" descr="Figure 8 Silhouette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8 Silhouette Score" descr="Figure 8 Silhouette Score"/>
                    <pic:cNvPicPr>
                      <a:picLocks noChangeAspect="1" noChangeArrowheads="1"/>
                    </pic:cNvPicPr>
                  </pic:nvPicPr>
                  <pic:blipFill>
                    <a:blip r:embed="rId13"/>
                    <a:stretch>
                      <a:fillRect/>
                    </a:stretch>
                  </pic:blipFill>
                  <pic:spPr bwMode="auto">
                    <a:xfrm>
                      <a:off x="0" y="0"/>
                      <a:ext cx="4799965" cy="2200275"/>
                    </a:xfrm>
                    <a:prstGeom prst="rect">
                      <a:avLst/>
                    </a:prstGeom>
                    <a:noFill/>
                  </pic:spPr>
                </pic:pic>
              </a:graphicData>
            </a:graphic>
          </wp:inline>
        </w:drawing>
      </w:r>
    </w:p>
    <w:p>
      <w:pPr>
        <w:pStyle w:val="Normal"/>
        <w:spacing w:before="60" w:after="300"/>
        <w:jc w:val="center"/>
        <w:rPr>
          <w:i/>
          <w:sz w:val="20"/>
          <w:szCs w:val="20"/>
        </w:rPr>
      </w:pPr>
      <w:r>
        <w:rPr>
          <w:i/>
          <w:sz w:val="20"/>
          <w:szCs w:val="20"/>
        </w:rPr>
        <w:t>Figure 8. K-Means cluster optimisation: silhouette coefficient across k=2 to k=8. k=5 selected (Silhouette=0.265). Source: this study.</w:t>
      </w:r>
    </w:p>
    <w:p>
      <w:pPr>
        <w:pStyle w:val="Normal"/>
        <w:spacing w:before="120" w:after="120"/>
        <w:jc w:val="center"/>
        <w:rPr/>
      </w:pPr>
      <w:r>
        <w:rPr/>
        <w:drawing>
          <wp:inline distT="0" distB="0" distL="0" distR="0">
            <wp:extent cx="5760085" cy="3199765"/>
            <wp:effectExtent l="0" t="0" r="0" b="0"/>
            <wp:docPr id="12" name="Figure 6 ML Performance" descr="Figure 6 ML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6 ML Performance" descr="Figure 6 ML Performance"/>
                    <pic:cNvPicPr>
                      <a:picLocks noChangeAspect="1" noChangeArrowheads="1"/>
                    </pic:cNvPicPr>
                  </pic:nvPicPr>
                  <pic:blipFill>
                    <a:blip r:embed="rId14"/>
                    <a:stretch>
                      <a:fillRect/>
                    </a:stretch>
                  </pic:blipFill>
                  <pic:spPr bwMode="auto">
                    <a:xfrm>
                      <a:off x="0" y="0"/>
                      <a:ext cx="5760085" cy="3199765"/>
                    </a:xfrm>
                    <a:prstGeom prst="rect">
                      <a:avLst/>
                    </a:prstGeom>
                    <a:noFill/>
                  </pic:spPr>
                </pic:pic>
              </a:graphicData>
            </a:graphic>
          </wp:inline>
        </w:drawing>
      </w:r>
    </w:p>
    <w:p>
      <w:pPr>
        <w:pStyle w:val="Normal"/>
        <w:spacing w:before="60" w:after="300"/>
        <w:jc w:val="center"/>
        <w:rPr>
          <w:i/>
          <w:sz w:val="20"/>
          <w:szCs w:val="20"/>
        </w:rPr>
      </w:pPr>
      <w:r>
        <w:rPr>
          <w:i/>
          <w:sz w:val="20"/>
          <w:szCs w:val="20"/>
        </w:rPr>
        <w:t>Figure 6. AHRID Random Forest classifier vs baseline SVM across key evaluation metrics. +50.21 percentage points improvement in F1 macro score. Source: this study.</w:t>
      </w:r>
    </w:p>
    <w:p>
      <w:pPr>
        <w:pStyle w:val="Heading1"/>
        <w:spacing w:lineRule="auto" w:line="360" w:before="0" w:after="40"/>
        <w:rPr>
          <w:rFonts w:ascii="Times New Roman" w:hAnsi="Times New Roman" w:cs="Times New Roman"/>
        </w:rPr>
      </w:pPr>
      <w:r>
        <w:rPr>
          <w:rFonts w:eastAsia="Times New Roman" w:cs="Times New Roman" w:ascii="Times New Roman" w:hAnsi="Times New Roman"/>
          <w:b/>
          <w:bCs/>
          <w:sz w:val="32"/>
          <w:szCs w:val="32"/>
        </w:rPr>
        <w:t>13. Ethical Considerations</w:t>
      </w:r>
    </w:p>
    <w:p>
      <w:pPr>
        <w:pStyle w:val="Normal"/>
        <w:spacing w:lineRule="auto" w:line="360" w:before="0" w:after="120"/>
        <w:jc w:val="both"/>
        <w:rPr/>
      </w:pPr>
      <w:r>
        <w:rPr>
          <w:rFonts w:eastAsia="Times New Roman"/>
          <w:szCs w:val="24"/>
        </w:rPr>
        <w:t>Cybersecurity systems that score and profile human behaviour carry profound ethical obligations that extend beyond technical performance benchmarks. AHRID was developed with the explicit recognition that ethical compliance is a design requirement embedded from the first sprint, not a constraint applied after engineering decisions are finalised. Four ethical domains were identified during requirements elicitation and addressed through concrete, documented design decisions: privacy, algorithmic fairness, transparency, and governance.</w:t>
      </w:r>
    </w:p>
    <w:p>
      <w:pPr>
        <w:pStyle w:val="Normal"/>
        <w:spacing w:lineRule="auto" w:line="360" w:before="0" w:after="120"/>
        <w:jc w:val="both"/>
        <w:rPr/>
      </w:pPr>
      <w:r>
        <w:rPr>
          <w:rFonts w:eastAsia="Times New Roman"/>
          <w:szCs w:val="24"/>
        </w:rPr>
        <w:t>Privacy protections are grounded in Nepal’s Individual Privacy Act, 2075 (2018), which establishes that data collection requires prior consent, that data may only be used for the purpose for which it was originally collected, and that individuals hold rights to access, rectification, and erasure (Government of Nepal, 2018). Constitutional support is provided by Article 28 of the Constitution of Nepal, 2072, which establishes the privacy of data and correspondence as a fundamental right. AHRID collects no personally identifiable information at any pipeline stage. The eighteen behavioural features used for risk classification (including scenario response times, click-through rates, OSINT scenario completion sequences, and training engagement patterns) capture interaction behaviours, not identity attributes. This design eliminates the consent obligations that would have been impractical in a desk-based research context whilst remaining fully consistent with IPA 2075’s data minimisation and purpose-limitation requirements.</w:t>
      </w:r>
    </w:p>
    <w:p>
      <w:pPr>
        <w:pStyle w:val="Normal"/>
        <w:spacing w:lineRule="auto" w:line="360" w:before="0" w:after="120"/>
        <w:jc w:val="both"/>
        <w:rPr/>
      </w:pPr>
      <w:r>
        <w:rPr>
          <w:rFonts w:eastAsia="Times New Roman"/>
          <w:szCs w:val="24"/>
        </w:rPr>
        <w:t>Algorithmic fairness was addressed through a proactive audit of all eighteen input features prior to model training. Each feature was reviewed to confirm that no proxy variables for protected characteristics (including nationality, gender, age group, or disability status) were incorporated into the training set, consistent with the emerging scholarly consensus that fairness-aware design requires upstream feature auditing rather than post-hoc debiasing (Jobin et al., 2019; Floridi et al., 2018). SMOTE oversampling ensured that the Random Forest classifier did not develop a structural bias towards majority-class users, preventing the failure mode in which high-risk minority-class employees receive systematically inferior model attention. The global baseline F1 macro of 0.3868 prior to SMOTE confirms the severity of the class imbalance that proactive feature auditing and oversampling jointly resolved, This represents an improvement of 50.21 percentage points over the pre-SMOTE baseline F1 of 0.3868.</w:t>
      </w:r>
    </w:p>
    <w:p>
      <w:pPr>
        <w:pStyle w:val="Normal"/>
        <w:spacing w:lineRule="auto" w:line="360" w:before="0" w:after="120"/>
        <w:jc w:val="both"/>
        <w:rPr/>
      </w:pPr>
      <w:r>
        <w:rPr>
          <w:rFonts w:eastAsia="Times New Roman"/>
          <w:szCs w:val="24"/>
        </w:rPr>
        <w:t>Transparency is operationalised through SHAP (SHapley Additive Explanations) (Lundberg &amp; Lee, 2017), which attributes each risk tier assignment to specific input features in human-readable terms accessible to non-technical employees. Research on algorithmic accountability in employment contexts has documented that worker trust declines sharply when AI-driven decisions cannot be explained: approximately 64% of employees report uncertainty about AI’s role in performance appraisal where no explanation mechanism is provided (Dubey &amp; Vachher, 2025). AHRID addresses this directly: every risk score is accompanied by a plain-language SHAP attribution identifying the three features that most influenced the classification, ensuring that no employee is assigned to a higher training tier without a human-readable justification they can contest. This operationalises the “right to explanation” advocated across 84 global AI ethics guidelines reviewed by Jobin et al. (2019).</w:t>
      </w:r>
    </w:p>
    <w:p>
      <w:pPr>
        <w:pStyle w:val="Normal"/>
        <w:spacing w:lineRule="auto" w:line="360" w:before="0" w:after="120"/>
        <w:jc w:val="both"/>
        <w:rPr/>
      </w:pPr>
      <w:r>
        <w:rPr>
          <w:rFonts w:eastAsia="Times New Roman"/>
          <w:szCs w:val="24"/>
        </w:rPr>
        <w:t>Governance design reflects the principle that cybersecurity training must motivate rather than coerce. Elevation to a higher training tier in AHRID triggers an adaptive scenario sequence calibrated to the employee’s identified behavioural archetype; it does not constitute a disciplinary action, performance note, or managerial alert. This decision is theoretically grounded in Protection Motivation Theory’s coping appraisal construct: for protective behaviour to be adopted, perceived response cost must be minimised (Rogers, 1983). Empirical evidence confirms that punitive security training designs suppress voluntary incident reporting, erode security culture, and generate adoption resistance (Boss et al., 2015; Workman, 2008). Role-based access controls enforce strict data boundaries: individual risk scores are visible only to the employee themselves; line managers access team-level aggregate data only; HR administrators access anonymised compliance summaries only. No individual score history is accessible to supervisory roles under any circumstances.</w:t>
      </w:r>
    </w:p>
    <w:p>
      <w:pPr>
        <w:pStyle w:val="Normal"/>
        <w:spacing w:lineRule="auto" w:line="360" w:before="0" w:after="120"/>
        <w:jc w:val="both"/>
        <w:rPr/>
      </w:pPr>
      <w:r>
        <w:rPr>
          <w:rFonts w:eastAsia="Times New Roman"/>
          <w:szCs w:val="24"/>
        </w:rPr>
        <w:t>These five design decisions collectively operationalise the convergent ethical framework identified by Jobin et al. (2019) across 84 global AI ethics guidelines: transparency, justice and fairness, non-maleficence, responsibility, and privacy. The KnowBe4 2025 Phishing by Industry Benchmarking Report demonstrates that organisations implementing non-punitive, training-focused human risk programmes achieve an 86% reduction in phishing susceptibility within twelve months, validating that ethically grounded design and operational effectiveness are complementary, not competing, objectives. Within AHRID, ethics is not an external compliance filter: it is a foundational design parameter that shaped every architectural decision from feature selection to access control policy.</w:t>
      </w:r>
    </w:p>
    <w:p>
      <w:pPr>
        <w:pStyle w:val="Normal"/>
        <w:spacing w:lineRule="auto" w:line="276" w:before="120" w:after="0"/>
        <w:rPr/>
      </w:pPr>
      <w:r>
        <w:rPr>
          <w:rFonts w:eastAsia="Times New Roman"/>
          <w:b/>
          <w:bCs/>
          <w:szCs w:val="24"/>
        </w:rPr>
        <w:t>Table 6</w:t>
      </w:r>
    </w:p>
    <w:p>
      <w:pPr>
        <w:pStyle w:val="Normal"/>
        <w:spacing w:lineRule="auto" w:line="276" w:before="0" w:after="40"/>
        <w:rPr/>
      </w:pPr>
      <w:r>
        <w:rPr>
          <w:rFonts w:eastAsia="Times New Roman"/>
          <w:i/>
          <w:iCs/>
          <w:szCs w:val="24"/>
        </w:rPr>
        <w:t>Ethics as Design Constraint Matrix: Six Principles Operationalised in AHRID</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1599"/>
        <w:gridCol w:w="2201"/>
        <w:gridCol w:w="2560"/>
        <w:gridCol w:w="1800"/>
        <w:gridCol w:w="1200"/>
      </w:tblGrid>
      <w:tr>
        <w:trPr/>
        <w:tc>
          <w:tcPr>
            <w:tcW w:w="1599"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Ethical Principle</w:t>
            </w:r>
          </w:p>
        </w:tc>
        <w:tc>
          <w:tcPr>
            <w:tcW w:w="2201"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Obligation</w:t>
            </w:r>
          </w:p>
        </w:tc>
        <w:tc>
          <w:tcPr>
            <w:tcW w:w="256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AHRID Design Decision</w:t>
            </w:r>
          </w:p>
        </w:tc>
        <w:tc>
          <w:tcPr>
            <w:tcW w:w="18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Theoretical Grounding</w:t>
            </w:r>
          </w:p>
        </w:tc>
        <w:tc>
          <w:tcPr>
            <w:tcW w:w="12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40"/>
              <w:rPr/>
            </w:pPr>
            <w:r>
              <w:rPr>
                <w:rFonts w:eastAsia="Times New Roman"/>
                <w:b/>
                <w:bCs/>
                <w:szCs w:val="24"/>
              </w:rPr>
              <w:t>Status</w:t>
            </w:r>
          </w:p>
        </w:tc>
      </w:tr>
      <w:tr>
        <w:trPr/>
        <w:tc>
          <w:tcPr>
            <w:tcW w:w="15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Privacy</w:t>
            </w:r>
          </w:p>
        </w:tc>
        <w:tc>
          <w:tcPr>
            <w:tcW w:w="22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Data minimisation; purpose limitation; consent</w:t>
            </w:r>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 PII collected; 18 behavioural features only; synthetic training data</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Nepal IPA 2075; Article 28, Constitution of Nepal 2072</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Implemented</w:t>
            </w:r>
          </w:p>
        </w:tc>
      </w:tr>
      <w:tr>
        <w:trPr/>
        <w:tc>
          <w:tcPr>
            <w:tcW w:w="15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Fairness</w:t>
            </w:r>
          </w:p>
        </w:tc>
        <w:tc>
          <w:tcPr>
            <w:tcW w:w="22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 discriminatory proxies; class balance</w:t>
            </w:r>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18-feature audit: no demographic proxies; SMOTE oversampling to resolve class imbalance</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Jobin et al. (2019); Floridi et al. (2018)</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Implemented</w:t>
            </w:r>
          </w:p>
        </w:tc>
      </w:tr>
      <w:tr>
        <w:trPr/>
        <w:tc>
          <w:tcPr>
            <w:tcW w:w="15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Transparency</w:t>
            </w:r>
          </w:p>
        </w:tc>
        <w:tc>
          <w:tcPr>
            <w:tcW w:w="22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Explainable decisions; right to contest</w:t>
            </w:r>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SHAP attribution per prediction; plain-language top-3 feature justification</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Lundberg &amp; Lee (2017); Jobin et al. (2019)</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Implemented</w:t>
            </w:r>
          </w:p>
        </w:tc>
      </w:tr>
      <w:tr>
        <w:trPr/>
        <w:tc>
          <w:tcPr>
            <w:tcW w:w="15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Non-maleficence</w:t>
            </w:r>
          </w:p>
        </w:tc>
        <w:tc>
          <w:tcPr>
            <w:tcW w:w="22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No punitive use; no harm from scores</w:t>
            </w:r>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Tier elevation triggers learning pathway only; no disciplinary action permitted</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Rogers (1983); Boss et al. (2015); Workman (2008)</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Implemented</w:t>
            </w:r>
          </w:p>
        </w:tc>
      </w:tr>
      <w:tr>
        <w:trPr/>
        <w:tc>
          <w:tcPr>
            <w:tcW w:w="15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Responsibility</w:t>
            </w:r>
          </w:p>
        </w:tc>
        <w:tc>
          <w:tcPr>
            <w:tcW w:w="22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Role-bounded access; human oversight</w:t>
            </w:r>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3-tier RBAC: employee sees own score; manager sees aggregate; HR sees anonymised compliance only</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Floridi et al. (2018); Jobin et al. (2019)</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Implemented</w:t>
            </w:r>
          </w:p>
        </w:tc>
      </w:tr>
      <w:tr>
        <w:trPr/>
        <w:tc>
          <w:tcPr>
            <w:tcW w:w="159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Accuracy</w:t>
            </w:r>
          </w:p>
        </w:tc>
        <w:tc>
          <w:tcPr>
            <w:tcW w:w="22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Reliable, validated outputs only</w:t>
            </w:r>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t>3-fold CV; SMOTE; 20% held-out test; metrics reported with baseline comparison</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Hevner et al. (2004) evaluation guideline</w:t>
            </w:r>
          </w:p>
        </w:tc>
        <w:tc>
          <w:tcPr>
            <w:tcW w:w="1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40"/>
              <w:rPr/>
            </w:pPr>
            <w:r>
              <w:rPr>
                <w:rFonts w:eastAsia="Times New Roman"/>
                <w:szCs w:val="24"/>
              </w:rPr>
              <w:t>Implemented</w:t>
            </w:r>
          </w:p>
        </w:tc>
      </w:tr>
    </w:tbl>
    <w:p>
      <w:pPr>
        <w:pStyle w:val="Normal"/>
        <w:spacing w:lineRule="auto" w:line="276" w:before="40" w:after="300"/>
        <w:rPr/>
      </w:pPr>
      <w:r>
        <w:rPr>
          <w:rFonts w:eastAsia="Times New Roman"/>
          <w:szCs w:val="24"/>
        </w:rPr>
        <w:t>Note. RBAC = Role-Based Access Control. IPA 2075 = Individual Privacy Act, 2075 (2018), Government of Nepal. Principles derived from the convergent framework of Jobin et al. (2019), synthesised across 84 global AI ethics guidelines. Each principle was reviewed as a sprint-level gate condition, not a post-hoc audit.</w:t>
      </w:r>
      <w:r>
        <w:br w:type="page"/>
      </w:r>
    </w:p>
    <w:p>
      <w:pPr>
        <w:pStyle w:val="Heading1"/>
        <w:spacing w:before="480" w:after="240"/>
        <w:rPr/>
      </w:pPr>
      <w:r>
        <w:rPr/>
        <w:t>References</w:t>
      </w:r>
    </w:p>
    <w:p>
      <w:pPr>
        <w:pStyle w:val="Normal"/>
        <w:spacing w:lineRule="auto" w:line="276" w:before="0" w:after="120"/>
        <w:ind w:hanging="720" w:start="720"/>
        <w:jc w:val="both"/>
        <w:rPr/>
      </w:pPr>
      <w:r>
        <w:rPr/>
        <w:t>Ahmad, M. (2018). Cybercrime and its solutions: A literature review. International Journal of Advanced Computer Science and Applications, 9(7), 101-109. https://doi.org/10.14569/IJACSA.2018.090714</w:t>
      </w:r>
    </w:p>
    <w:p>
      <w:pPr>
        <w:pStyle w:val="Normal"/>
        <w:spacing w:lineRule="auto" w:line="276" w:before="0" w:after="120"/>
        <w:ind w:hanging="720" w:start="720"/>
        <w:jc w:val="both"/>
        <w:rPr/>
      </w:pPr>
      <w:r>
        <w:rPr/>
        <w:t>Artioli, M. (2024). Adaptive security awareness training: Behavioural analytics approach for SMEs. Journal of Cybersecurity Education, Research and Practice, 2024(1), 1-22.</w:t>
      </w:r>
    </w:p>
    <w:p>
      <w:pPr>
        <w:pStyle w:val="Normal"/>
        <w:spacing w:lineRule="auto" w:line="276" w:before="0" w:after="120"/>
        <w:ind w:hanging="720" w:start="720"/>
        <w:jc w:val="both"/>
        <w:rPr/>
      </w:pPr>
      <w:r>
        <w:rPr/>
        <w:t>Beautement, A., Sasse, M. A., &amp; Wonham, M. (2008). The compliance budget: Managing security behaviour in organisations. Proceedings of the New Security Paradigms Workshop, 47-58. https://doi.org/10.1145/1595676.1595684</w:t>
      </w:r>
    </w:p>
    <w:p>
      <w:pPr>
        <w:pStyle w:val="Normal"/>
        <w:spacing w:lineRule="auto" w:line="276" w:before="0" w:after="120"/>
        <w:ind w:hanging="720" w:start="720"/>
        <w:jc w:val="both"/>
        <w:rPr/>
      </w:pPr>
      <w:r>
        <w:rPr/>
        <w:t>Boss, S. R., Kirsch, L. J., Angermeier, I., Shingler, R. A., &amp; Boss, R. W. (2009). If someone is watching, I’ll do what I’m asked: Mandatoriness, control, and information security. European Journal of Information Systems, 18(2), 151-164. https://doi.org/10.1057/ejis.2009.8</w:t>
      </w:r>
    </w:p>
    <w:p>
      <w:pPr>
        <w:pStyle w:val="Normal"/>
        <w:spacing w:lineRule="auto" w:line="276" w:before="0" w:after="120"/>
        <w:ind w:hanging="720" w:start="720"/>
        <w:jc w:val="both"/>
        <w:rPr/>
      </w:pPr>
      <w:r>
        <w:rPr/>
        <w:t>Breiman, L. (2001). Random forests. Machine Learning, 45(1), 5-32. https://doi.org/10.1023/A:1010933404324</w:t>
      </w:r>
    </w:p>
    <w:p>
      <w:pPr>
        <w:pStyle w:val="Normal"/>
        <w:spacing w:lineRule="auto" w:line="276" w:before="0" w:after="120"/>
        <w:ind w:hanging="720" w:start="720"/>
        <w:jc w:val="both"/>
        <w:rPr/>
      </w:pPr>
      <w:r>
        <w:rPr/>
        <w:t>Buczak, A. L., &amp; Guven, E. (2016). A survey of data mining and machine learning methods for cyber security intrusion detection. IEEE Communications Surveys and Tutorials, 18(2), 1153-1176. https://doi.org/10.1109/COMST.2015.2494502</w:t>
      </w:r>
    </w:p>
    <w:p>
      <w:pPr>
        <w:pStyle w:val="Normal"/>
        <w:spacing w:lineRule="auto" w:line="276" w:before="0" w:after="120"/>
        <w:ind w:hanging="720" w:start="720"/>
        <w:jc w:val="both"/>
        <w:rPr/>
      </w:pPr>
      <w:r>
        <w:rPr/>
        <w:t>Chawla, N. V., Bowyer, K. W., Hall, L. O., &amp; Kegelmeyer, W. P. (2002). SMOTE: Synthetic minority over-sampling technique. Journal of Artificial Intelligence Research, 16, 321-357. https://doi.org/10.1613/jair.953</w:t>
      </w:r>
    </w:p>
    <w:p>
      <w:pPr>
        <w:pStyle w:val="Normal"/>
        <w:spacing w:lineRule="auto" w:line="276" w:before="0" w:after="120"/>
        <w:ind w:hanging="720" w:start="720"/>
        <w:jc w:val="both"/>
        <w:rPr/>
      </w:pPr>
      <w:r>
        <w:rPr/>
        <w:t>Dal Pozzolo, A. (2018). Adaptive machine learning for credit card fraud detection [Doctoral dissertation, Université Libre de Bruxelles].</w:t>
      </w:r>
    </w:p>
    <w:p>
      <w:pPr>
        <w:pStyle w:val="Normal"/>
        <w:spacing w:lineRule="auto" w:line="276" w:before="0" w:after="120"/>
        <w:ind w:hanging="720" w:start="720"/>
        <w:jc w:val="both"/>
        <w:rPr/>
      </w:pPr>
      <w:r>
        <w:rPr/>
        <w:t>Davis, F. D. (1989). Perceived usefulness, perceived ease of use, and user acceptance of information technology. MIS Quarterly, 13(3), 319-340. https://doi.org/10.2307/249008</w:t>
      </w:r>
    </w:p>
    <w:p>
      <w:pPr>
        <w:pStyle w:val="Normal"/>
        <w:spacing w:lineRule="auto" w:line="276" w:before="0" w:after="120"/>
        <w:ind w:hanging="720" w:start="720"/>
        <w:jc w:val="both"/>
        <w:rPr/>
      </w:pPr>
      <w:r>
        <w:rPr/>
        <w:t>Dubey, A., &amp; Vachher, P. (2025). AI literacy and cybersecurity awareness in SMEs: Bridging the knowledge gap. Journal of Information Security and Applications, 82, 103718. https://doi.org/10.1016/j.jisa.2025.103718</w:t>
      </w:r>
    </w:p>
    <w:p>
      <w:pPr>
        <w:pStyle w:val="Normal"/>
        <w:spacing w:lineRule="auto" w:line="276" w:before="0" w:after="120"/>
        <w:ind w:hanging="720" w:start="720"/>
        <w:jc w:val="both"/>
        <w:rPr/>
      </w:pPr>
      <w:r>
        <w:rPr/>
        <w:t>Floridi, L., Cowls, J., Beltrametti, M., Chatila, R., Chazerand, P., Dignum, V., Luetge, C., Madelin, R., Pagallo, U., Rossi, F., Schafer, B., Valcke, P., &amp; Vayena, E. (2018). AI4People: An ethical framework for a good AI society. Minds and Machines, 28(4), 689-707. https://doi.org/10.1007/s11023-018-9482-5</w:t>
      </w:r>
    </w:p>
    <w:p>
      <w:pPr>
        <w:pStyle w:val="Normal"/>
        <w:spacing w:lineRule="auto" w:line="276" w:before="0" w:after="120"/>
        <w:ind w:hanging="720" w:start="720"/>
        <w:jc w:val="both"/>
        <w:rPr/>
      </w:pPr>
      <w:r>
        <w:rPr/>
        <w:t>Floyd, D. L., Prentice-Dunn, S., &amp; Rogers, R. W. (2000). A meta-analysis of research on protection motivation theory. Journal of Applied Social Psychology, 30(2), 407-429. https://doi.org/10.1111/j.1559-1816.2000.tb02323.x</w:t>
      </w:r>
    </w:p>
    <w:p>
      <w:pPr>
        <w:pStyle w:val="Normal"/>
        <w:spacing w:lineRule="auto" w:line="276" w:before="0" w:after="120"/>
        <w:ind w:hanging="720" w:start="720"/>
        <w:jc w:val="both"/>
        <w:rPr/>
      </w:pPr>
      <w:r>
        <w:rPr/>
        <w:t>Government of Nepal. (2018). Individual Privacy Act 2075 (2018). Ministry of Law, Justice and Parliamentary Affairs.</w:t>
      </w:r>
    </w:p>
    <w:p>
      <w:pPr>
        <w:pStyle w:val="Normal"/>
        <w:spacing w:lineRule="auto" w:line="276" w:before="0" w:after="120"/>
        <w:ind w:hanging="720" w:start="720"/>
        <w:jc w:val="both"/>
        <w:rPr/>
      </w:pPr>
      <w:r>
        <w:rPr/>
        <w:t>Hadlington, L. (2017). Human factors in cybersecurity: Examining the link between internet addiction, impulsivity, attitudes towards cybersecurity, and risky cybersecurity behaviours. Heliyon, 3(7), e00346. https://doi.org/10.1016/j.heliyon.2017.e00346</w:t>
      </w:r>
    </w:p>
    <w:p>
      <w:pPr>
        <w:pStyle w:val="Normal"/>
        <w:spacing w:lineRule="auto" w:line="276" w:before="0" w:after="120"/>
        <w:ind w:hanging="720" w:start="720"/>
        <w:jc w:val="both"/>
        <w:rPr/>
      </w:pPr>
      <w:r>
        <w:rPr/>
        <w:t>Hevner, A. R., March, S. T., Park, J., &amp; Ram, S. (2004). Design science in information systems research. MIS Quarterly, 28(1), 75-105. https://doi.org/10.2307/25148625</w:t>
      </w:r>
    </w:p>
    <w:p>
      <w:pPr>
        <w:pStyle w:val="Normal"/>
        <w:spacing w:lineRule="auto" w:line="276" w:before="0" w:after="120"/>
        <w:ind w:hanging="720" w:start="720"/>
        <w:jc w:val="both"/>
        <w:rPr/>
      </w:pPr>
      <w:r>
        <w:rPr/>
        <w:t>IBM Security. (2025). Cost of a data breach report 2025. IBM Corporation.</w:t>
      </w:r>
    </w:p>
    <w:p>
      <w:pPr>
        <w:pStyle w:val="Normal"/>
        <w:spacing w:lineRule="auto" w:line="276" w:before="0" w:after="120"/>
        <w:ind w:hanging="720" w:start="720"/>
        <w:jc w:val="both"/>
        <w:rPr/>
      </w:pPr>
      <w:r>
        <w:rPr/>
        <w:t>International Journal of Machine Intelligence Research. (2025). Adaptive ML frameworks for real-time cybersecurity threat personalisation. IJMIR, 12(3), 45-67.</w:t>
      </w:r>
    </w:p>
    <w:p>
      <w:pPr>
        <w:pStyle w:val="Normal"/>
        <w:spacing w:lineRule="auto" w:line="276" w:before="0" w:after="120"/>
        <w:ind w:hanging="720" w:start="720"/>
        <w:jc w:val="both"/>
        <w:rPr/>
      </w:pPr>
      <w:r>
        <w:rPr/>
        <w:t>Jobin, A., Ienca, M., &amp; Vayena, E. (2019). The global landscape of AI ethics guidelines. Nature Machine Intelligence, 1(9), 389-399. https://doi.org/10.1038/s42256-019-0088-2</w:t>
      </w:r>
    </w:p>
    <w:p>
      <w:pPr>
        <w:pStyle w:val="Normal"/>
        <w:spacing w:lineRule="auto" w:line="276" w:before="0" w:after="120"/>
        <w:ind w:hanging="720" w:start="720"/>
        <w:jc w:val="both"/>
        <w:rPr/>
      </w:pPr>
      <w:r>
        <w:rPr/>
        <w:t>Kabanda, S. (2018). Exploring SME cybersecurity practices in developing countries. ECIS 2018 Proceedings, Research Papers, 15.</w:t>
      </w:r>
    </w:p>
    <w:p>
      <w:pPr>
        <w:pStyle w:val="Normal"/>
        <w:spacing w:lineRule="auto" w:line="276" w:before="0" w:after="120"/>
        <w:ind w:hanging="720" w:start="720"/>
        <w:jc w:val="both"/>
        <w:rPr/>
      </w:pPr>
      <w:r>
        <w:rPr/>
        <w:t>Kahneman, D., &amp; Tversky, A. (1979). Prospect theory: An analysis of decision under risk. Econometrica, 47(2), 263-291. https://doi.org/10.2307/1914185</w:t>
      </w:r>
    </w:p>
    <w:p>
      <w:pPr>
        <w:pStyle w:val="Normal"/>
        <w:spacing w:lineRule="auto" w:line="276" w:before="0" w:after="120"/>
        <w:ind w:hanging="720" w:start="720"/>
        <w:jc w:val="both"/>
        <w:rPr/>
      </w:pPr>
      <w:r>
        <w:rPr/>
        <w:t>Kemp, S. (2025). Digital 2025: Nepal. DataReportal. https://datareportal.com/reports/digital-2025-nepal</w:t>
      </w:r>
    </w:p>
    <w:p>
      <w:pPr>
        <w:pStyle w:val="Normal"/>
        <w:spacing w:lineRule="auto" w:line="276" w:before="0" w:after="120"/>
        <w:ind w:hanging="720" w:start="720"/>
        <w:jc w:val="both"/>
        <w:rPr/>
      </w:pPr>
      <w:r>
        <w:rPr/>
        <w:t>KnowBe4. (2025). 2025 phishing by industry benchmarking report. KnowBe4 Inc.</w:t>
      </w:r>
    </w:p>
    <w:p>
      <w:pPr>
        <w:pStyle w:val="Normal"/>
        <w:spacing w:lineRule="auto" w:line="276" w:before="0" w:after="120"/>
        <w:ind w:hanging="720" w:start="720"/>
        <w:jc w:val="both"/>
        <w:rPr/>
      </w:pPr>
      <w:r>
        <w:rPr/>
        <w:t>Kritzinger, E., &amp; von Solms, S. H. (2010). Cyber security for home users: A new way of protection through awareness enforcement. Computers and Security, 29(8), 840-847. https://doi.org/10.1016/j.cose.2010.08.001</w:t>
      </w:r>
    </w:p>
    <w:p>
      <w:pPr>
        <w:pStyle w:val="Normal"/>
        <w:spacing w:lineRule="auto" w:line="276" w:before="0" w:after="120"/>
        <w:ind w:hanging="720" w:start="720"/>
        <w:jc w:val="both"/>
        <w:rPr/>
      </w:pPr>
      <w:r>
        <w:rPr/>
        <w:t>Lain, D., Kostiainen, K., &amp; Capkun, S. (2022). Phishing in organisations: Findings from a large-scale and long-term study. 2022 IEEE Symposium on Security and Privacy, 1486-1503. https://doi.org/10.1109/SP46214.2022.9833766</w:t>
      </w:r>
    </w:p>
    <w:p>
      <w:pPr>
        <w:pStyle w:val="Normal"/>
        <w:spacing w:lineRule="auto" w:line="276" w:before="0" w:after="120"/>
        <w:ind w:hanging="720" w:start="720"/>
        <w:jc w:val="both"/>
        <w:rPr/>
      </w:pPr>
      <w:r>
        <w:rPr/>
        <w:t>LevelBlue / AlienVault OTX. (2024). 2024 LevelBlue futures report: Cyber resilience. AT&amp;T Cybersecurity.</w:t>
      </w:r>
    </w:p>
    <w:p>
      <w:pPr>
        <w:pStyle w:val="Normal"/>
        <w:spacing w:lineRule="auto" w:line="276" w:before="0" w:after="120"/>
        <w:ind w:hanging="720" w:start="720"/>
        <w:jc w:val="both"/>
        <w:rPr/>
      </w:pPr>
      <w:r>
        <w:rPr/>
        <w:t>Lundberg, S. M., &amp; Lee, S.-I. (2017). A unified approach to interpreting model predictions. Advances in Neural Information Processing Systems, 30, 4765-4774.</w:t>
      </w:r>
    </w:p>
    <w:p>
      <w:pPr>
        <w:pStyle w:val="Normal"/>
        <w:spacing w:lineRule="auto" w:line="276" w:before="0" w:after="120"/>
        <w:ind w:hanging="720" w:start="720"/>
        <w:jc w:val="both"/>
        <w:rPr/>
      </w:pPr>
      <w:r>
        <w:rPr/>
        <w:t>March, S. T., &amp; Smith, G. F. (1995). Design and natural science research on information technology. Decision Support Systems, 15(4), 251-266. https://doi.org/10.1016/0167-9236(94)00041-2</w:t>
      </w:r>
    </w:p>
    <w:p>
      <w:pPr>
        <w:pStyle w:val="Normal"/>
        <w:spacing w:lineRule="auto" w:line="276" w:before="0" w:after="120"/>
        <w:ind w:hanging="720" w:start="720"/>
        <w:jc w:val="both"/>
        <w:rPr/>
      </w:pPr>
      <w:r>
        <w:rPr/>
        <w:t>Nepal Police. (2025). Cyber Bureau annual report FY2024-25. Nepal Police Headquarters, Naxal, Kathmandu.</w:t>
      </w:r>
    </w:p>
    <w:p>
      <w:pPr>
        <w:pStyle w:val="Normal"/>
        <w:spacing w:lineRule="auto" w:line="276" w:before="0" w:after="120"/>
        <w:ind w:hanging="720" w:start="720"/>
        <w:jc w:val="both"/>
        <w:rPr/>
      </w:pPr>
      <w:r>
        <w:rPr/>
        <w:t>Pedregosa, F., Varoquaux, G., Gramfort, A., Michel, V., Thirion, B., Grisel, O., Blondel, M., Prettenhofer, P., Weiss, R., Dubourg, V., Vanderplas, J., Passos, A., Cournapeau, D., Brucher, M., Perrot, M., &amp; Duchesneau, E. (2011). Scikit-learn: Machine learning in Python. Journal of Machine Learning Research, 12, 2825-2830.</w:t>
      </w:r>
    </w:p>
    <w:p>
      <w:pPr>
        <w:pStyle w:val="Normal"/>
        <w:spacing w:lineRule="auto" w:line="276" w:before="0" w:after="120"/>
        <w:ind w:hanging="720" w:start="720"/>
        <w:jc w:val="both"/>
        <w:rPr/>
      </w:pPr>
      <w:r>
        <w:rPr/>
        <w:t>Peffers, K., Tuunanen, T., Rothenberger, M. A., &amp; Chatterjee, S. (2007). A design science research methodology for information systems research. Journal of Management Information Systems, 24(3), 45-77. https://doi.org/10.2753/MIS0742-1222240302</w:t>
      </w:r>
    </w:p>
    <w:p>
      <w:pPr>
        <w:pStyle w:val="Normal"/>
        <w:spacing w:lineRule="auto" w:line="276" w:before="0" w:after="120"/>
        <w:ind w:hanging="720" w:start="720"/>
        <w:jc w:val="both"/>
        <w:rPr/>
      </w:pPr>
      <w:r>
        <w:rPr/>
        <w:t>Rogers, R. W. (1975). A protection motivation theory of fear appeals and attitude change. Journal of Psychology, 91(1), 93-114. https://doi.org/10.1080/00223980.1975.9915803</w:t>
      </w:r>
    </w:p>
    <w:p>
      <w:pPr>
        <w:pStyle w:val="Normal"/>
        <w:spacing w:lineRule="auto" w:line="276" w:before="0" w:after="120"/>
        <w:ind w:hanging="720" w:start="720"/>
        <w:jc w:val="both"/>
        <w:rPr/>
      </w:pPr>
      <w:r>
        <w:rPr/>
        <w:t>Rogers, R. W. (1983). Cognitive and physiological processes in fear appeals and attitude change: A revised theory of protection motivation. In J. T. Cacioppo &amp; R. E. Petty (Eds.), Social psychophysiology: A sourcebook (pp. 153-176). Guilford Press.</w:t>
      </w:r>
    </w:p>
    <w:p>
      <w:pPr>
        <w:pStyle w:val="Normal"/>
        <w:spacing w:lineRule="auto" w:line="276" w:before="0" w:after="120"/>
        <w:ind w:hanging="720" w:start="720"/>
        <w:jc w:val="both"/>
        <w:rPr/>
      </w:pPr>
      <w:r>
        <w:rPr/>
        <w:t>Siponen, M. T. (2000). A conceptual foundation for organizational information security awareness. Information Management and Computer Security, 8(1), 31-41. https://doi.org/10.1108/09685220010371394</w:t>
      </w:r>
    </w:p>
    <w:p>
      <w:pPr>
        <w:pStyle w:val="Normal"/>
        <w:spacing w:lineRule="auto" w:line="276" w:before="0" w:after="120"/>
        <w:ind w:hanging="720" w:start="720"/>
        <w:jc w:val="both"/>
        <w:rPr/>
      </w:pPr>
      <w:r>
        <w:rPr/>
        <w:t>Statista. (2025). Number of internet users in Nepal from 2010 to 2025. Statista GmbH. https://www.statista.com/statistics/1129528/nepal-internet-users/</w:t>
      </w:r>
    </w:p>
    <w:p>
      <w:pPr>
        <w:pStyle w:val="Normal"/>
        <w:spacing w:lineRule="auto" w:line="276" w:before="0" w:after="120"/>
        <w:ind w:hanging="720" w:start="720"/>
        <w:jc w:val="both"/>
        <w:rPr/>
      </w:pPr>
      <w:r>
        <w:rPr/>
        <w:t>Venkatesh, V., Morris, M. G., Davis, G. B., &amp; Davis, F. D. (2003). User acceptance of information technology: Toward a unified view. MIS Quarterly, 27(3), 425-478. https://doi.org/10.2307/30036540</w:t>
      </w:r>
    </w:p>
    <w:p>
      <w:pPr>
        <w:pStyle w:val="Normal"/>
        <w:spacing w:lineRule="auto" w:line="276" w:before="0" w:after="120"/>
        <w:ind w:hanging="720" w:start="720"/>
        <w:jc w:val="both"/>
        <w:rPr/>
      </w:pPr>
      <w:r>
        <w:rPr/>
        <w:t>Verizon. (2025). 2025 data breach investigations report. Verizon Communications Inc.</w:t>
      </w:r>
    </w:p>
    <w:p>
      <w:pPr>
        <w:pStyle w:val="Normal"/>
        <w:spacing w:lineRule="auto" w:line="276" w:before="0" w:after="120"/>
        <w:ind w:hanging="720" w:start="720"/>
        <w:jc w:val="both"/>
        <w:rPr/>
      </w:pPr>
      <w:r>
        <w:rPr/>
        <w:t>Wogalter, M. S., DeJoy, D. M., &amp; Laughery, K. R. (1999). Warnings and risk communication. Taylor &amp; Francis.</w:t>
      </w:r>
    </w:p>
    <w:p>
      <w:pPr>
        <w:pStyle w:val="Normal"/>
        <w:spacing w:lineRule="auto" w:line="276" w:before="0" w:after="120"/>
        <w:ind w:hanging="720" w:start="720"/>
        <w:jc w:val="both"/>
        <w:rPr/>
      </w:pPr>
      <w:r>
        <w:rPr/>
        <w:t>Workman, M. (2008). Wisecrackers: A theory-grounded investigation of phishing and pretext social engineering threats to information security. Journal of the American Society for Information Science and Technology, 59(4), 662-674. https://doi.org/10.1002/asi.20779</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Times New Roman" w:eastAsiaTheme="minorEastAsia"/>
        <w:sz w:val="24"/>
        <w:szCs w:val="21"/>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05a18"/>
    <w:pPr>
      <w:widowControl/>
      <w:suppressAutoHyphens w:val="false"/>
      <w:bidi w:val="0"/>
      <w:spacing w:lineRule="auto" w:line="264" w:before="0" w:after="120"/>
      <w:jc w:val="start"/>
    </w:pPr>
    <w:rPr>
      <w:rFonts w:ascii="Times New Roman" w:hAnsi="Times New Roman" w:eastAsia="DejaVu Sans" w:cs="Times New Roman" w:eastAsiaTheme="minorEastAsia"/>
      <w:color w:val="auto"/>
      <w:kern w:val="0"/>
      <w:sz w:val="24"/>
      <w:szCs w:val="21"/>
      <w:lang w:val="en-US" w:eastAsia="zh-CN" w:bidi="hi-IN"/>
    </w:rPr>
  </w:style>
  <w:style w:type="paragraph" w:styleId="Heading1">
    <w:name w:val="heading 1"/>
    <w:basedOn w:val="Normal"/>
    <w:next w:val="Normal"/>
    <w:link w:val="Heading1Char"/>
    <w:uiPriority w:val="9"/>
    <w:qFormat/>
    <w:rsid w:val="00a05a18"/>
    <w:pPr>
      <w:keepNext w:val="true"/>
      <w:keepLines/>
      <w:pBdr>
        <w:bottom w:val="single" w:sz="4" w:space="1" w:color="0F6FC6" w:themeColor="accent1"/>
      </w:pBdr>
      <w:spacing w:lineRule="auto" w:line="240" w:before="400" w:after="40"/>
      <w:outlineLvl w:val="0"/>
    </w:pPr>
    <w:rPr>
      <w:rFonts w:ascii="Arial" w:hAnsi="Arial" w:eastAsia="DejaVu Sans" w:cs="DejaVu Sans" w:asciiTheme="majorHAnsi" w:cstheme="majorBidi" w:eastAsiaTheme="majorEastAsia" w:hAnsiTheme="majorHAnsi"/>
      <w:color w:themeColor="accent1" w:themeShade="bf" w:val="0B5294"/>
      <w:sz w:val="36"/>
      <w:szCs w:val="36"/>
    </w:rPr>
  </w:style>
  <w:style w:type="paragraph" w:styleId="Heading2">
    <w:name w:val="heading 2"/>
    <w:basedOn w:val="Normal"/>
    <w:next w:val="Normal"/>
    <w:link w:val="Heading2Char"/>
    <w:uiPriority w:val="9"/>
    <w:unhideWhenUsed/>
    <w:qFormat/>
    <w:rsid w:val="00a05a18"/>
    <w:pPr>
      <w:keepNext w:val="true"/>
      <w:keepLines/>
      <w:spacing w:lineRule="auto" w:line="240" w:before="160" w:after="0"/>
      <w:outlineLvl w:val="1"/>
    </w:pPr>
    <w:rPr>
      <w:rFonts w:ascii="Arial" w:hAnsi="Arial" w:eastAsia="DejaVu Sans" w:cs="DejaVu Sans" w:asciiTheme="majorHAnsi" w:cstheme="majorBidi" w:eastAsiaTheme="majorEastAsia" w:hAnsiTheme="majorHAnsi"/>
      <w:color w:themeColor="accent1" w:themeShade="bf" w:val="0B5294"/>
      <w:sz w:val="28"/>
      <w:szCs w:val="28"/>
    </w:rPr>
  </w:style>
  <w:style w:type="paragraph" w:styleId="Heading3">
    <w:name w:val="heading 3"/>
    <w:basedOn w:val="Normal"/>
    <w:next w:val="Normal"/>
    <w:link w:val="Heading3Char"/>
    <w:uiPriority w:val="9"/>
    <w:semiHidden/>
    <w:unhideWhenUsed/>
    <w:qFormat/>
    <w:rsid w:val="00a05a18"/>
    <w:pPr>
      <w:keepNext w:val="true"/>
      <w:keepLines/>
      <w:spacing w:lineRule="auto" w:line="240" w:before="80" w:after="0"/>
      <w:outlineLvl w:val="2"/>
    </w:pPr>
    <w:rPr>
      <w:rFonts w:ascii="Arial" w:hAnsi="Arial" w:eastAsia="DejaVu Sans" w:cs="DejaVu Sans" w:asciiTheme="majorHAnsi" w:cstheme="majorBidi" w:eastAsiaTheme="majorEastAsia" w:hAnsiTheme="majorHAnsi"/>
      <w:color w:themeColor="text1" w:themeTint="bf" w:val="404040"/>
      <w:sz w:val="26"/>
      <w:szCs w:val="26"/>
    </w:rPr>
  </w:style>
  <w:style w:type="paragraph" w:styleId="Heading4">
    <w:name w:val="heading 4"/>
    <w:basedOn w:val="Normal"/>
    <w:next w:val="Normal"/>
    <w:link w:val="Heading4Char"/>
    <w:uiPriority w:val="9"/>
    <w:semiHidden/>
    <w:unhideWhenUsed/>
    <w:qFormat/>
    <w:rsid w:val="00a05a18"/>
    <w:pPr>
      <w:keepNext w:val="true"/>
      <w:keepLines/>
      <w:spacing w:before="80" w:after="0"/>
      <w:outlineLvl w:val="3"/>
    </w:pPr>
    <w:rPr>
      <w:rFonts w:ascii="Arial" w:hAnsi="Arial" w:eastAsia="DejaVu Sans" w:cs="DejaVu Sans" w:asciiTheme="majorHAnsi" w:cstheme="majorBidi" w:eastAsiaTheme="majorEastAsia" w:hAnsiTheme="majorHAnsi"/>
      <w:szCs w:val="24"/>
    </w:rPr>
  </w:style>
  <w:style w:type="paragraph" w:styleId="Heading5">
    <w:name w:val="heading 5"/>
    <w:basedOn w:val="Normal"/>
    <w:next w:val="Normal"/>
    <w:link w:val="Heading5Char"/>
    <w:uiPriority w:val="9"/>
    <w:semiHidden/>
    <w:unhideWhenUsed/>
    <w:qFormat/>
    <w:rsid w:val="00a05a18"/>
    <w:pPr>
      <w:keepNext w:val="true"/>
      <w:keepLines/>
      <w:spacing w:before="80" w:after="0"/>
      <w:outlineLvl w:val="4"/>
    </w:pPr>
    <w:rPr>
      <w:rFonts w:ascii="Arial" w:hAnsi="Arial" w:eastAsia="DejaVu Sans" w:cs="DejaVu Sans" w:asciiTheme="majorHAnsi" w:cstheme="majorBidi" w:eastAsiaTheme="majorEastAsia" w:hAnsiTheme="majorHAnsi"/>
      <w:i/>
      <w:iCs/>
      <w:sz w:val="22"/>
      <w:szCs w:val="22"/>
    </w:rPr>
  </w:style>
  <w:style w:type="paragraph" w:styleId="Heading6">
    <w:name w:val="heading 6"/>
    <w:basedOn w:val="Normal"/>
    <w:next w:val="Normal"/>
    <w:link w:val="Heading6Char"/>
    <w:uiPriority w:val="9"/>
    <w:semiHidden/>
    <w:unhideWhenUsed/>
    <w:qFormat/>
    <w:rsid w:val="00a05a18"/>
    <w:pPr>
      <w:keepNext w:val="true"/>
      <w:keepLines/>
      <w:spacing w:before="80" w:after="0"/>
      <w:outlineLvl w:val="5"/>
    </w:pPr>
    <w:rPr>
      <w:rFonts w:ascii="Arial" w:hAnsi="Arial" w:eastAsia="DejaVu Sans" w:cs="DejaVu Sans" w:asciiTheme="majorHAnsi" w:cstheme="majorBidi" w:eastAsiaTheme="majorEastAsia" w:hAnsiTheme="majorHAnsi"/>
      <w:color w:themeColor="text1" w:themeTint="a6" w:val="595959"/>
    </w:rPr>
  </w:style>
  <w:style w:type="paragraph" w:styleId="Heading7">
    <w:name w:val="heading 7"/>
    <w:basedOn w:val="Normal"/>
    <w:next w:val="Normal"/>
    <w:link w:val="Heading7Char"/>
    <w:uiPriority w:val="9"/>
    <w:semiHidden/>
    <w:unhideWhenUsed/>
    <w:qFormat/>
    <w:rsid w:val="00a05a18"/>
    <w:pPr>
      <w:keepNext w:val="true"/>
      <w:keepLines/>
      <w:spacing w:before="80" w:after="0"/>
      <w:outlineLvl w:val="6"/>
    </w:pPr>
    <w:rPr>
      <w:rFonts w:ascii="Arial" w:hAnsi="Arial" w:eastAsia="DejaVu Sans" w:cs="DejaVu Sans" w:asciiTheme="majorHAnsi" w:cstheme="majorBidi" w:eastAsiaTheme="majorEastAsia" w:hAnsiTheme="majorHAnsi"/>
      <w:i/>
      <w:iCs/>
      <w:color w:themeColor="text1" w:themeTint="a6" w:val="595959"/>
    </w:rPr>
  </w:style>
  <w:style w:type="paragraph" w:styleId="Heading8">
    <w:name w:val="heading 8"/>
    <w:basedOn w:val="Normal"/>
    <w:next w:val="Normal"/>
    <w:link w:val="Heading8Char"/>
    <w:uiPriority w:val="9"/>
    <w:semiHidden/>
    <w:unhideWhenUsed/>
    <w:qFormat/>
    <w:rsid w:val="00a05a18"/>
    <w:pPr>
      <w:keepNext w:val="true"/>
      <w:keepLines/>
      <w:spacing w:before="80" w:after="0"/>
      <w:outlineLvl w:val="7"/>
    </w:pPr>
    <w:rPr>
      <w:rFonts w:ascii="Arial" w:hAnsi="Arial" w:eastAsia="DejaVu Sans" w:cs="DejaVu Sans" w:asciiTheme="majorHAnsi" w:cstheme="majorBidi" w:eastAsiaTheme="majorEastAsia" w:hAnsiTheme="majorHAnsi"/>
      <w:smallCaps/>
      <w:color w:themeColor="text1" w:themeTint="a6" w:val="595959"/>
    </w:rPr>
  </w:style>
  <w:style w:type="paragraph" w:styleId="Heading9">
    <w:name w:val="heading 9"/>
    <w:basedOn w:val="Normal"/>
    <w:next w:val="Normal"/>
    <w:link w:val="Heading9Char"/>
    <w:uiPriority w:val="9"/>
    <w:semiHidden/>
    <w:unhideWhenUsed/>
    <w:qFormat/>
    <w:rsid w:val="00a05a18"/>
    <w:pPr>
      <w:keepNext w:val="true"/>
      <w:keepLines/>
      <w:spacing w:before="80" w:after="0"/>
      <w:outlineLvl w:val="8"/>
    </w:pPr>
    <w:rPr>
      <w:rFonts w:ascii="Arial" w:hAnsi="Arial" w:eastAsia="DejaVu Sans" w:cs="DejaVu Sans" w:asciiTheme="majorHAnsi" w:cstheme="majorBidi" w:eastAsiaTheme="majorEastAsia" w:hAnsiTheme="majorHAnsi"/>
      <w:i/>
      <w:iCs/>
      <w:smallCaps/>
      <w:color w:themeColor="text1" w:themeTint="a6" w:val="595959"/>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customStyle="1">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customStyle="1">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ing1Char" w:customStyle="1">
    <w:name w:val="Heading 1 Char"/>
    <w:basedOn w:val="DefaultParagraphFont"/>
    <w:link w:val="Heading1"/>
    <w:uiPriority w:val="9"/>
    <w:qFormat/>
    <w:rsid w:val="00a05a18"/>
    <w:rPr>
      <w:rFonts w:ascii="Arial" w:hAnsi="Arial" w:eastAsia="DejaVu Sans" w:cs="DejaVu Sans" w:asciiTheme="majorHAnsi" w:cstheme="majorBidi" w:eastAsiaTheme="majorEastAsia" w:hAnsiTheme="majorHAnsi"/>
      <w:color w:themeColor="accent1" w:themeShade="bf" w:val="0B5294"/>
      <w:sz w:val="36"/>
      <w:szCs w:val="36"/>
    </w:rPr>
  </w:style>
  <w:style w:type="character" w:styleId="Heading2Char" w:customStyle="1">
    <w:name w:val="Heading 2 Char"/>
    <w:basedOn w:val="DefaultParagraphFont"/>
    <w:link w:val="Heading2"/>
    <w:uiPriority w:val="9"/>
    <w:qFormat/>
    <w:rsid w:val="00a05a18"/>
    <w:rPr>
      <w:rFonts w:ascii="Arial" w:hAnsi="Arial" w:eastAsia="DejaVu Sans" w:cs="DejaVu Sans" w:asciiTheme="majorHAnsi" w:cstheme="majorBidi" w:eastAsiaTheme="majorEastAsia" w:hAnsiTheme="majorHAnsi"/>
      <w:color w:themeColor="accent1" w:themeShade="bf" w:val="0B5294"/>
      <w:sz w:val="28"/>
      <w:szCs w:val="28"/>
    </w:rPr>
  </w:style>
  <w:style w:type="character" w:styleId="Heading3Char" w:customStyle="1">
    <w:name w:val="Heading 3 Char"/>
    <w:basedOn w:val="DefaultParagraphFont"/>
    <w:link w:val="Heading3"/>
    <w:uiPriority w:val="9"/>
    <w:semiHidden/>
    <w:qFormat/>
    <w:rsid w:val="00a05a18"/>
    <w:rPr>
      <w:rFonts w:ascii="Arial" w:hAnsi="Arial" w:eastAsia="DejaVu Sans" w:cs="DejaVu Sans" w:asciiTheme="majorHAnsi" w:cstheme="majorBidi" w:eastAsiaTheme="majorEastAsia" w:hAnsiTheme="majorHAnsi"/>
      <w:color w:themeColor="text1" w:themeTint="bf" w:val="404040"/>
      <w:sz w:val="26"/>
      <w:szCs w:val="26"/>
    </w:rPr>
  </w:style>
  <w:style w:type="character" w:styleId="Heading4Char" w:customStyle="1">
    <w:name w:val="Heading 4 Char"/>
    <w:basedOn w:val="DefaultParagraphFont"/>
    <w:link w:val="Heading4"/>
    <w:uiPriority w:val="9"/>
    <w:semiHidden/>
    <w:qFormat/>
    <w:rsid w:val="00a05a18"/>
    <w:rPr>
      <w:rFonts w:ascii="Arial" w:hAnsi="Arial" w:eastAsia="DejaVu Sans" w:cs="DejaVu Sans" w:asciiTheme="majorHAnsi" w:cstheme="majorBidi" w:eastAsiaTheme="majorEastAsia" w:hAnsiTheme="majorHAnsi"/>
      <w:sz w:val="24"/>
      <w:szCs w:val="24"/>
    </w:rPr>
  </w:style>
  <w:style w:type="character" w:styleId="Heading5Char" w:customStyle="1">
    <w:name w:val="Heading 5 Char"/>
    <w:basedOn w:val="DefaultParagraphFont"/>
    <w:link w:val="Heading5"/>
    <w:uiPriority w:val="9"/>
    <w:semiHidden/>
    <w:qFormat/>
    <w:rsid w:val="00a05a18"/>
    <w:rPr>
      <w:rFonts w:ascii="Arial" w:hAnsi="Arial" w:eastAsia="DejaVu Sans" w:cs="DejaVu Sans" w:asciiTheme="majorHAnsi" w:cstheme="majorBidi" w:eastAsiaTheme="majorEastAsia" w:hAnsiTheme="majorHAnsi"/>
      <w:i/>
      <w:iCs/>
      <w:sz w:val="22"/>
      <w:szCs w:val="22"/>
    </w:rPr>
  </w:style>
  <w:style w:type="character" w:styleId="Heading6Char" w:customStyle="1">
    <w:name w:val="Heading 6 Char"/>
    <w:basedOn w:val="DefaultParagraphFont"/>
    <w:link w:val="Heading6"/>
    <w:uiPriority w:val="9"/>
    <w:semiHidden/>
    <w:qFormat/>
    <w:rsid w:val="00a05a18"/>
    <w:rPr>
      <w:rFonts w:ascii="Arial" w:hAnsi="Arial" w:eastAsia="DejaVu Sans" w:cs="DejaVu Sans" w:asciiTheme="majorHAnsi" w:cstheme="majorBidi" w:eastAsiaTheme="majorEastAsia" w:hAnsiTheme="majorHAnsi"/>
      <w:color w:themeColor="text1" w:themeTint="a6" w:val="595959"/>
    </w:rPr>
  </w:style>
  <w:style w:type="character" w:styleId="Heading7Char" w:customStyle="1">
    <w:name w:val="Heading 7 Char"/>
    <w:basedOn w:val="DefaultParagraphFont"/>
    <w:link w:val="Heading7"/>
    <w:uiPriority w:val="9"/>
    <w:semiHidden/>
    <w:qFormat/>
    <w:rsid w:val="00a05a18"/>
    <w:rPr>
      <w:rFonts w:ascii="Arial" w:hAnsi="Arial" w:eastAsia="DejaVu Sans" w:cs="DejaVu Sans" w:asciiTheme="majorHAnsi" w:cstheme="majorBidi" w:eastAsiaTheme="majorEastAsia" w:hAnsiTheme="majorHAnsi"/>
      <w:i/>
      <w:iCs/>
      <w:color w:themeColor="text1" w:themeTint="a6" w:val="595959"/>
    </w:rPr>
  </w:style>
  <w:style w:type="character" w:styleId="Heading8Char" w:customStyle="1">
    <w:name w:val="Heading 8 Char"/>
    <w:basedOn w:val="DefaultParagraphFont"/>
    <w:link w:val="Heading8"/>
    <w:uiPriority w:val="9"/>
    <w:semiHidden/>
    <w:qFormat/>
    <w:rsid w:val="00a05a18"/>
    <w:rPr>
      <w:rFonts w:ascii="Arial" w:hAnsi="Arial" w:eastAsia="DejaVu Sans" w:cs="DejaVu Sans" w:asciiTheme="majorHAnsi" w:cstheme="majorBidi" w:eastAsiaTheme="majorEastAsia" w:hAnsiTheme="majorHAnsi"/>
      <w:smallCaps/>
      <w:color w:themeColor="text1" w:themeTint="a6" w:val="595959"/>
    </w:rPr>
  </w:style>
  <w:style w:type="character" w:styleId="Heading9Char" w:customStyle="1">
    <w:name w:val="Heading 9 Char"/>
    <w:basedOn w:val="DefaultParagraphFont"/>
    <w:link w:val="Heading9"/>
    <w:uiPriority w:val="9"/>
    <w:semiHidden/>
    <w:qFormat/>
    <w:rsid w:val="00a05a18"/>
    <w:rPr>
      <w:rFonts w:ascii="Arial" w:hAnsi="Arial" w:eastAsia="DejaVu Sans" w:cs="DejaVu Sans" w:asciiTheme="majorHAnsi" w:cstheme="majorBidi" w:eastAsiaTheme="majorEastAsia" w:hAnsiTheme="majorHAnsi"/>
      <w:i/>
      <w:iCs/>
      <w:smallCaps/>
      <w:color w:themeColor="text1" w:themeTint="a6" w:val="595959"/>
    </w:rPr>
  </w:style>
  <w:style w:type="character" w:styleId="TitleChar" w:customStyle="1">
    <w:name w:val="Title Char"/>
    <w:basedOn w:val="DefaultParagraphFont"/>
    <w:link w:val="Title"/>
    <w:uiPriority w:val="10"/>
    <w:qFormat/>
    <w:rsid w:val="00a05a18"/>
    <w:rPr>
      <w:rFonts w:ascii="Arial" w:hAnsi="Arial" w:eastAsia="DejaVu Sans" w:cs="DejaVu Sans" w:asciiTheme="majorHAnsi" w:cstheme="majorBidi" w:eastAsiaTheme="majorEastAsia" w:hAnsiTheme="majorHAnsi"/>
      <w:color w:themeColor="accent1" w:themeShade="bf" w:val="0B5294"/>
      <w:spacing w:val="-7"/>
      <w:sz w:val="80"/>
      <w:szCs w:val="80"/>
    </w:rPr>
  </w:style>
  <w:style w:type="character" w:styleId="SubtitleChar" w:customStyle="1">
    <w:name w:val="Subtitle Char"/>
    <w:basedOn w:val="DefaultParagraphFont"/>
    <w:link w:val="Subtitle"/>
    <w:uiPriority w:val="11"/>
    <w:qFormat/>
    <w:rsid w:val="00a05a18"/>
    <w:rPr>
      <w:rFonts w:ascii="Arial" w:hAnsi="Arial" w:eastAsia="DejaVu Sans" w:cs="DejaVu Sans" w:asciiTheme="majorHAnsi" w:cstheme="majorBidi" w:eastAsiaTheme="majorEastAsia" w:hAnsiTheme="majorHAnsi"/>
      <w:color w:themeColor="text1" w:themeTint="bf" w:val="404040"/>
      <w:sz w:val="30"/>
      <w:szCs w:val="30"/>
    </w:rPr>
  </w:style>
  <w:style w:type="character" w:styleId="Strong">
    <w:name w:val="Strong"/>
    <w:basedOn w:val="DefaultParagraphFont"/>
    <w:uiPriority w:val="22"/>
    <w:qFormat/>
    <w:rsid w:val="00a05a18"/>
    <w:rPr>
      <w:b/>
      <w:bCs/>
    </w:rPr>
  </w:style>
  <w:style w:type="character" w:styleId="Emphasis">
    <w:name w:val="Emphasis"/>
    <w:basedOn w:val="DefaultParagraphFont"/>
    <w:uiPriority w:val="20"/>
    <w:qFormat/>
    <w:rsid w:val="00a05a18"/>
    <w:rPr>
      <w:i/>
      <w:iCs/>
    </w:rPr>
  </w:style>
  <w:style w:type="character" w:styleId="QuoteChar" w:customStyle="1">
    <w:name w:val="Quote Char"/>
    <w:basedOn w:val="DefaultParagraphFont"/>
    <w:link w:val="Quote"/>
    <w:uiPriority w:val="29"/>
    <w:qFormat/>
    <w:rsid w:val="00a05a18"/>
    <w:rPr>
      <w:i/>
      <w:iCs/>
    </w:rPr>
  </w:style>
  <w:style w:type="character" w:styleId="IntenseQuoteChar" w:customStyle="1">
    <w:name w:val="Intense Quote Char"/>
    <w:basedOn w:val="DefaultParagraphFont"/>
    <w:link w:val="IntenseQuote"/>
    <w:uiPriority w:val="30"/>
    <w:qFormat/>
    <w:rsid w:val="00a05a18"/>
    <w:rPr>
      <w:rFonts w:ascii="Arial" w:hAnsi="Arial" w:eastAsia="DejaVu Sans" w:cs="DejaVu Sans" w:asciiTheme="majorHAnsi" w:cstheme="majorBidi" w:eastAsiaTheme="majorEastAsia" w:hAnsiTheme="majorHAnsi"/>
      <w:color w:themeColor="accent1" w:val="0F6FC6"/>
      <w:sz w:val="28"/>
      <w:szCs w:val="28"/>
    </w:rPr>
  </w:style>
  <w:style w:type="character" w:styleId="SubtleEmphasis">
    <w:name w:val="Subtle Emphasis"/>
    <w:basedOn w:val="DefaultParagraphFont"/>
    <w:uiPriority w:val="19"/>
    <w:qFormat/>
    <w:rsid w:val="00a05a18"/>
    <w:rPr>
      <w:i/>
      <w:iCs/>
      <w:color w:themeColor="text1" w:themeTint="a6" w:val="595959"/>
    </w:rPr>
  </w:style>
  <w:style w:type="character" w:styleId="IntenseEmphasis">
    <w:name w:val="Intense Emphasis"/>
    <w:basedOn w:val="DefaultParagraphFont"/>
    <w:uiPriority w:val="21"/>
    <w:qFormat/>
    <w:rsid w:val="00a05a18"/>
    <w:rPr>
      <w:b/>
      <w:bCs/>
      <w:i/>
      <w:iCs/>
    </w:rPr>
  </w:style>
  <w:style w:type="character" w:styleId="SubtleReference">
    <w:name w:val="Subtle Reference"/>
    <w:basedOn w:val="DefaultParagraphFont"/>
    <w:uiPriority w:val="31"/>
    <w:qFormat/>
    <w:rsid w:val="00a05a18"/>
    <w:rPr>
      <w:smallCaps/>
      <w:color w:themeColor="text1" w:themeTint="bf" w:val="404040"/>
    </w:rPr>
  </w:style>
  <w:style w:type="character" w:styleId="IntenseReference">
    <w:name w:val="Intense Reference"/>
    <w:basedOn w:val="DefaultParagraphFont"/>
    <w:uiPriority w:val="32"/>
    <w:qFormat/>
    <w:rsid w:val="00a05a18"/>
    <w:rPr>
      <w:b/>
      <w:bCs/>
      <w:smallCaps/>
      <w:u w:val="single"/>
    </w:rPr>
  </w:style>
  <w:style w:type="character" w:styleId="BookTitle">
    <w:name w:val="Book Title"/>
    <w:basedOn w:val="DefaultParagraphFont"/>
    <w:uiPriority w:val="33"/>
    <w:qFormat/>
    <w:rsid w:val="00a05a18"/>
    <w:rPr>
      <w:b/>
      <w:bCs/>
      <w:smallCaps/>
    </w:rPr>
  </w:style>
  <w:style w:type="character" w:styleId="IndexLink">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a05a18"/>
    <w:pPr>
      <w:spacing w:lineRule="auto" w:line="240"/>
    </w:pPr>
    <w:rPr>
      <w:b/>
      <w:bCs/>
      <w:color w:themeColor="text1" w:themeTint="bf" w:val="404040"/>
      <w:sz w:val="20"/>
      <w:szCs w:val="20"/>
    </w:rPr>
  </w:style>
  <w:style w:type="paragraph" w:styleId="Index" w:customStyle="1">
    <w:name w:val="Index"/>
    <w:basedOn w:val="Normal"/>
    <w:qFormat/>
    <w:pPr>
      <w:suppressLineNumbers/>
    </w:pPr>
    <w:rPr>
      <w:rFonts w:cs="FreeSans"/>
    </w:rPr>
  </w:style>
  <w:style w:type="paragraph" w:styleId="Title">
    <w:name w:val="Title"/>
    <w:basedOn w:val="Normal"/>
    <w:next w:val="Normal"/>
    <w:link w:val="TitleChar"/>
    <w:uiPriority w:val="10"/>
    <w:qFormat/>
    <w:rsid w:val="00a05a18"/>
    <w:pPr>
      <w:spacing w:lineRule="auto" w:line="240" w:before="0" w:after="0"/>
      <w:contextualSpacing/>
    </w:pPr>
    <w:rPr>
      <w:rFonts w:ascii="Arial" w:hAnsi="Arial" w:eastAsia="DejaVu Sans" w:cs="DejaVu Sans" w:asciiTheme="majorHAnsi" w:cstheme="majorBidi" w:eastAsiaTheme="majorEastAsia" w:hAnsiTheme="majorHAnsi"/>
      <w:color w:themeColor="accent1" w:themeShade="bf" w:val="0B5294"/>
      <w:spacing w:val="-7"/>
      <w:sz w:val="80"/>
      <w:szCs w:val="80"/>
    </w:rPr>
  </w:style>
  <w:style w:type="paragraph" w:styleId="StrongEmphasis" w:customStyle="1">
    <w:name w:val="Strong Emphasis"/>
    <w:qFormat/>
    <w:pPr>
      <w:widowControl/>
      <w:suppressAutoHyphens w:val="true"/>
      <w:bidi w:val="0"/>
      <w:spacing w:lineRule="auto" w:line="264"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uiPriority w:val="34"/>
    <w:qFormat/>
    <w:pPr>
      <w:widowControl/>
      <w:suppressAutoHyphens w:val="true"/>
      <w:bidi w:val="0"/>
      <w:spacing w:lineRule="auto" w:line="264" w:before="0" w:after="120"/>
      <w:ind w:start="720"/>
      <w:contextualSpacing/>
      <w:jc w:val="start"/>
    </w:pPr>
    <w:rPr>
      <w:rFonts w:ascii="Times New Roman" w:hAnsi="Times New Roman" w:eastAsia="DejaVu Sans" w:cs="Mangal" w:eastAsiaTheme="minorEastAsia"/>
      <w:color w:val="auto"/>
      <w:kern w:val="0"/>
      <w:sz w:val="24"/>
      <w:szCs w:val="19"/>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autoRedefine/>
    <w:uiPriority w:val="39"/>
    <w:unhideWhenUsed/>
    <w:rsid w:val="00f60de4"/>
    <w:pPr>
      <w:spacing w:before="0" w:after="100"/>
    </w:pPr>
    <w:rPr>
      <w:rFonts w:cs="Mangal"/>
    </w:rPr>
  </w:style>
  <w:style w:type="paragraph" w:styleId="TOC2">
    <w:name w:val="toc 2"/>
    <w:basedOn w:val="Normal"/>
    <w:next w:val="Normal"/>
    <w:autoRedefine/>
    <w:uiPriority w:val="39"/>
    <w:unhideWhenUsed/>
    <w:rsid w:val="00f60de4"/>
    <w:pPr>
      <w:spacing w:before="0" w:after="100"/>
      <w:ind w:start="240"/>
    </w:pPr>
    <w:rPr>
      <w:rFonts w:cs="Mangal"/>
    </w:rPr>
  </w:style>
  <w:style w:type="paragraph" w:styleId="IndexHeading">
    <w:name w:val="index heading"/>
    <w:basedOn w:val="Heading"/>
    <w:pPr/>
    <w:rPr/>
  </w:style>
  <w:style w:type="paragraph" w:styleId="TOCHeading">
    <w:name w:val="TOC Heading"/>
    <w:basedOn w:val="Heading1"/>
    <w:next w:val="Normal"/>
    <w:uiPriority w:val="39"/>
    <w:unhideWhenUsed/>
    <w:qFormat/>
    <w:rsid w:val="00a05a18"/>
    <w:pPr>
      <w:outlineLvl w:val="9"/>
    </w:pPr>
    <w:rPr/>
  </w:style>
  <w:style w:type="paragraph" w:styleId="Subtitle">
    <w:name w:val="Subtitle"/>
    <w:basedOn w:val="Normal"/>
    <w:next w:val="Normal"/>
    <w:link w:val="SubtitleChar"/>
    <w:uiPriority w:val="11"/>
    <w:qFormat/>
    <w:rsid w:val="00a05a18"/>
    <w:pPr>
      <w:spacing w:lineRule="auto" w:line="240" w:before="0" w:after="240"/>
    </w:pPr>
    <w:rPr>
      <w:rFonts w:ascii="Arial" w:hAnsi="Arial" w:eastAsia="DejaVu Sans" w:cs="DejaVu Sans" w:asciiTheme="majorHAnsi" w:cstheme="majorBidi" w:eastAsiaTheme="majorEastAsia" w:hAnsiTheme="majorHAnsi"/>
      <w:color w:themeColor="text1" w:themeTint="bf" w:val="404040"/>
      <w:sz w:val="30"/>
      <w:szCs w:val="30"/>
    </w:rPr>
  </w:style>
  <w:style w:type="paragraph" w:styleId="NoSpacing">
    <w:name w:val="No Spacing"/>
    <w:uiPriority w:val="1"/>
    <w:qFormat/>
    <w:rsid w:val="00a05a18"/>
    <w:pPr>
      <w:widowControl/>
      <w:suppressAutoHyphens w:val="true"/>
      <w:bidi w:val="0"/>
      <w:spacing w:lineRule="auto" w:line="240" w:before="0" w:after="0"/>
      <w:jc w:val="start"/>
    </w:pPr>
    <w:rPr>
      <w:rFonts w:ascii="Times New Roman" w:hAnsi="Times New Roman" w:eastAsia="DejaVu Sans" w:cs="Times New Roman" w:eastAsiaTheme="minorEastAsia"/>
      <w:color w:val="auto"/>
      <w:kern w:val="0"/>
      <w:sz w:val="24"/>
      <w:szCs w:val="21"/>
      <w:lang w:val="en-US" w:eastAsia="zh-CN" w:bidi="hi-IN"/>
    </w:rPr>
  </w:style>
  <w:style w:type="paragraph" w:styleId="Quote">
    <w:name w:val="Quote"/>
    <w:basedOn w:val="Normal"/>
    <w:next w:val="Normal"/>
    <w:link w:val="QuoteChar"/>
    <w:uiPriority w:val="29"/>
    <w:qFormat/>
    <w:rsid w:val="00a05a18"/>
    <w:pPr>
      <w:spacing w:lineRule="auto" w:line="252" w:before="240" w:after="240"/>
      <w:ind w:start="864" w:end="864"/>
      <w:jc w:val="center"/>
    </w:pPr>
    <w:rPr>
      <w:i/>
      <w:iCs/>
    </w:rPr>
  </w:style>
  <w:style w:type="paragraph" w:styleId="IntenseQuote">
    <w:name w:val="Intense Quote"/>
    <w:basedOn w:val="Normal"/>
    <w:next w:val="Normal"/>
    <w:link w:val="IntenseQuoteChar"/>
    <w:uiPriority w:val="30"/>
    <w:qFormat/>
    <w:rsid w:val="00a05a18"/>
    <w:pPr>
      <w:spacing w:beforeAutospacing="1" w:after="240"/>
      <w:ind w:start="864" w:end="864"/>
      <w:jc w:val="center"/>
    </w:pPr>
    <w:rPr>
      <w:rFonts w:ascii="Arial" w:hAnsi="Arial" w:eastAsia="DejaVu Sans" w:cs="DejaVu Sans" w:asciiTheme="majorHAnsi" w:cstheme="majorBidi" w:eastAsiaTheme="majorEastAsia" w:hAnsiTheme="majorHAnsi"/>
      <w:color w:themeColor="accent1" w:val="0F6FC6"/>
      <w:sz w:val="28"/>
      <w:szCs w:val="28"/>
    </w:rPr>
  </w:style>
  <w:style w:type="paragraph" w:styleId="FigureIndexHeading">
    <w:name w:val="Figure Index Heading"/>
    <w:basedOn w:val="IndexHeading"/>
    <w:qFormat/>
    <w:pPr>
      <w:suppressLineNumbers/>
      <w:ind w:hanging="0" w:start="0"/>
    </w:pPr>
    <w:rPr>
      <w:b/>
      <w:bCs/>
      <w:sz w:val="32"/>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sv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Blue">
      <a:dk1>
        <a:srgbClr val="000000"/>
      </a:dk1>
      <a:lt1>
        <a:srgbClr val="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C95AF-3926-4E99-A3FC-BCD21ADEC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TotalTime>
  <Application>LibreOffice/26.2.4.2$Linux_X86_64 LibreOffice_project/620$Build-2</Application>
  <AppVersion>15.0000</AppVersion>
  <Pages>40</Pages>
  <Words>8517</Words>
  <Characters>57867</Characters>
  <CharactersWithSpaces>65989</CharactersWithSpaces>
  <Paragraphs>415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2026-06-30T04:07:00Z</dcterms:created>
  <dc:creator>Un-named</dc:creator>
  <dc:description/>
  <dc:language>en-US</dc:language>
  <cp:lastModifiedBy/>
  <cp:lastPrinted>2026-07-04T22:35:50Z</cp:lastPrinted>
  <dcterms:modified xsi:type="dcterms:W3CDTF">2026-07-07T22:55:39Z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file>