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120" w:line="360"/>
        <w:jc w:val="center"/>
      </w:pPr>
      <w:r>
        <w:rPr>
          <w:rFonts w:ascii="Times New Roman" w:cs="Times New Roman" w:eastAsia="Times New Roman" w:hAnsi="Times New Roman"/>
          <w:sz w:val="24"/>
          <w:szCs w:val="24"/>
        </w:rPr>
        <w:t xml:space="preserve">Softwarica College of IT &amp; E-Commerce</w:t>
      </w:r>
    </w:p>
    <w:p>
      <w:pPr>
        <w:spacing w:after="120" w:line="360"/>
        <w:jc w:val="center"/>
      </w:pPr>
      <w:r>
        <w:rPr>
          <w:rFonts w:ascii="Times New Roman" w:cs="Times New Roman" w:eastAsia="Times New Roman" w:hAnsi="Times New Roman"/>
          <w:i/>
          <w:iCs/>
          <w:sz w:val="24"/>
          <w:szCs w:val="24"/>
        </w:rPr>
        <w:t xml:space="preserve">In academic partnership with Coventry University, United Kingdom</w:t>
      </w:r>
    </w:p>
    <w:p>
      <w:pPr>
        <w:spacing w:before="100"/>
      </w:pPr>
    </w:p>
    <w:p>
      <w:pPr>
        <w:spacing w:after="120" w:line="360"/>
        <w:jc w:val="center"/>
      </w:pPr>
      <w:r>
        <w:rPr>
          <w:rFonts w:ascii="Times New Roman" w:cs="Times New Roman" w:eastAsia="Times New Roman" w:hAnsi="Times New Roman"/>
          <w:b/>
          <w:bCs/>
          <w:sz w:val="28"/>
          <w:szCs w:val="28"/>
        </w:rPr>
        <w:t xml:space="preserve">BSc (Hons) Ethical Hacking &amp; Cybersecurity</w:t>
      </w:r>
    </w:p>
    <w:p>
      <w:pPr>
        <w:spacing w:after="120" w:line="360"/>
        <w:jc w:val="center"/>
      </w:pPr>
      <w:r>
        <w:rPr>
          <w:rFonts w:ascii="Times New Roman" w:cs="Times New Roman" w:eastAsia="Times New Roman" w:hAnsi="Times New Roman"/>
          <w:sz w:val="24"/>
          <w:szCs w:val="24"/>
        </w:rPr>
        <w:t xml:space="preserve">ST6047CEM Cyber Security Project  |  Final Year Research Report</w:t>
      </w:r>
    </w:p>
    <w:p>
      <w:pPr>
        <w:spacing w:before="600"/>
      </w:pPr>
    </w:p>
    <w:p>
      <w:pPr>
        <w:spacing w:after="120" w:line="360"/>
        <w:jc w:val="center"/>
      </w:pPr>
      <w:r>
        <w:rPr>
          <w:rFonts w:ascii="Times New Roman" w:cs="Times New Roman" w:eastAsia="Times New Roman" w:hAnsi="Times New Roman"/>
          <w:b/>
          <w:bCs/>
          <w:sz w:val="44"/>
          <w:szCs w:val="44"/>
        </w:rPr>
        <w:t xml:space="preserve">AHRID</w:t>
      </w:r>
    </w:p>
    <w:p>
      <w:pPr>
        <w:spacing w:before="100"/>
      </w:pPr>
    </w:p>
    <w:p>
      <w:pPr>
        <w:spacing w:after="120" w:line="360"/>
        <w:jc w:val="center"/>
      </w:pPr>
      <w:r>
        <w:rPr>
          <w:rFonts w:ascii="Times New Roman" w:cs="Times New Roman" w:eastAsia="Times New Roman" w:hAnsi="Times New Roman"/>
          <w:i/>
          <w:iCs/>
          <w:sz w:val="24"/>
          <w:szCs w:val="24"/>
        </w:rPr>
        <w:t xml:space="preserve">Adaptive Human-Risk Intelligence Dashboard with Live Threat-Feed Integration and Behavioural Risk Scoring for Non-Technical SME Staff in Kathmandu Valley</w:t>
      </w:r>
    </w:p>
    <w:p>
      <w:pPr>
        <w:spacing w:before="200"/>
      </w:pPr>
    </w:p>
    <w:p>
      <w:pPr>
        <w:spacing w:after="120" w:line="360"/>
        <w:jc w:val="center"/>
      </w:pPr>
      <w:r>
        <w:rPr>
          <w:rFonts w:ascii="Times New Roman" w:cs="Times New Roman" w:eastAsia="Times New Roman" w:hAnsi="Times New Roman"/>
          <w:sz w:val="24"/>
          <w:szCs w:val="24"/>
        </w:rPr>
        <w:t xml:space="preserve">Programme: BSc (Hons) Ethical Hacking &amp; Cybersecurity</w:t>
      </w:r>
    </w:p>
    <w:p>
      <w:pPr>
        <w:spacing w:after="120" w:line="360"/>
        <w:jc w:val="center"/>
      </w:pPr>
      <w:r>
        <w:rPr>
          <w:rFonts w:ascii="Times New Roman" w:cs="Times New Roman" w:eastAsia="Times New Roman" w:hAnsi="Times New Roman"/>
          <w:sz w:val="24"/>
          <w:szCs w:val="24"/>
        </w:rPr>
        <w:t xml:space="preserve">Institution: Softwarica College of IT &amp; E-Commerce x Coventry University UK</w:t>
      </w:r>
    </w:p>
    <w:p>
      <w:pPr>
        <w:spacing w:after="120" w:line="360"/>
        <w:jc w:val="center"/>
      </w:pPr>
      <w:r>
        <w:rPr>
          <w:rFonts w:ascii="Times New Roman" w:cs="Times New Roman" w:eastAsia="Times New Roman" w:hAnsi="Times New Roman"/>
          <w:sz w:val="24"/>
          <w:szCs w:val="24"/>
        </w:rPr>
        <w:t xml:space="preserve">Method: Desk-Based Agile Research with ML Application</w:t>
      </w:r>
    </w:p>
    <w:p>
      <w:pPr>
        <w:spacing w:before="600"/>
      </w:pPr>
    </w:p>
    <w:p>
      <w:pPr>
        <w:spacing w:after="120" w:line="360"/>
        <w:jc w:val="center"/>
      </w:pPr>
      <w:r>
        <w:rPr>
          <w:rFonts w:ascii="Times New Roman" w:cs="Times New Roman" w:eastAsia="Times New Roman" w:hAnsi="Times New Roman"/>
          <w:sz w:val="24"/>
          <w:szCs w:val="24"/>
        </w:rPr>
        <w:t xml:space="preserve">Prepared by</w:t>
      </w:r>
    </w:p>
    <w:p>
      <w:pPr>
        <w:spacing w:after="120" w:line="360"/>
        <w:jc w:val="center"/>
      </w:pPr>
      <w:r>
        <w:rPr>
          <w:rFonts w:ascii="Times New Roman" w:cs="Times New Roman" w:eastAsia="Times New Roman" w:hAnsi="Times New Roman"/>
          <w:b/>
          <w:bCs/>
          <w:sz w:val="24"/>
          <w:szCs w:val="24"/>
        </w:rPr>
        <w:t xml:space="preserve">Rupesh Kumar Thakur</w:t>
      </w:r>
    </w:p>
    <w:p>
      <w:pPr>
        <w:spacing w:after="120" w:line="360"/>
        <w:jc w:val="center"/>
      </w:pPr>
      <w:r>
        <w:rPr>
          <w:rFonts w:ascii="Times New Roman" w:cs="Times New Roman" w:eastAsia="Times New Roman" w:hAnsi="Times New Roman"/>
          <w:sz w:val="24"/>
          <w:szCs w:val="24"/>
        </w:rPr>
        <w:t xml:space="preserve">College ID: 230548  |  CU ID: 14806490  |  Batch: 35'C</w:t>
      </w:r>
    </w:p>
    <w:p>
      <w:pPr>
        <w:spacing w:before="100"/>
      </w:pPr>
    </w:p>
    <w:p>
      <w:pPr>
        <w:spacing w:after="120" w:line="360"/>
        <w:jc w:val="center"/>
      </w:pPr>
      <w:r>
        <w:rPr>
          <w:rFonts w:ascii="Times New Roman" w:cs="Times New Roman" w:eastAsia="Times New Roman" w:hAnsi="Times New Roman"/>
          <w:sz w:val="24"/>
          <w:szCs w:val="24"/>
        </w:rPr>
        <w:t xml:space="preserve">Submitted To</w:t>
      </w:r>
    </w:p>
    <w:p>
      <w:pPr>
        <w:spacing w:after="120" w:line="360"/>
        <w:jc w:val="center"/>
      </w:pPr>
      <w:r>
        <w:rPr>
          <w:rFonts w:ascii="Times New Roman" w:cs="Times New Roman" w:eastAsia="Times New Roman" w:hAnsi="Times New Roman"/>
          <w:b/>
          <w:bCs/>
          <w:sz w:val="24"/>
          <w:szCs w:val="24"/>
        </w:rPr>
        <w:t xml:space="preserve">Manoj Shrestha</w:t>
      </w:r>
    </w:p>
    <w:p>
      <w:pPr>
        <w:spacing w:before="400"/>
      </w:pPr>
    </w:p>
    <w:p>
      <w:pPr>
        <w:spacing w:after="120" w:line="360"/>
        <w:jc w:val="center"/>
      </w:pPr>
      <w:r>
        <w:rPr>
          <w:rFonts w:ascii="Times New Roman" w:cs="Times New Roman" w:eastAsia="Times New Roman" w:hAnsi="Times New Roman"/>
          <w:sz w:val="24"/>
          <w:szCs w:val="24"/>
        </w:rPr>
        <w:t xml:space="preserve">June 2026</w:t>
      </w:r>
    </w:p>
    <w:p>
      <w:r>
        <w:br w:type="page"/>
      </w:r>
    </w:p>
    <w:p>
      <w:pPr>
        <w:pStyle w:val="Heading1"/>
        <w:spacing w:after="200" w:before="360" w:line="360"/>
      </w:pPr>
      <w:r>
        <w:rPr>
          <w:rFonts w:ascii="Times New Roman" w:cs="Times New Roman" w:eastAsia="Times New Roman" w:hAnsi="Times New Roman"/>
          <w:b/>
          <w:bCs/>
          <w:sz w:val="32"/>
          <w:szCs w:val="32"/>
        </w:rPr>
        <w:t xml:space="preserve">Conceptual Diagram</w:t>
      </w:r>
    </w:p>
    <w:p>
      <w:pPr>
        <w:spacing w:after="120" w:line="360"/>
        <w:jc w:val="both"/>
      </w:pPr>
      <w:r>
        <w:rPr>
          <w:rFonts w:ascii="Times New Roman" w:cs="Times New Roman" w:eastAsia="Times New Roman" w:hAnsi="Times New Roman"/>
          <w:sz w:val="24"/>
          <w:szCs w:val="24"/>
        </w:rPr>
        <w:t xml:space="preserve">The following diagrams provide a visual representation of AHRID's architecture and principal components. The system spans four subsystems: OSINT threat ingestion, dual-component machine learning analysis, adaptive training delivery, and role-based dashboard presentation with three-tier access control.</w:t>
      </w:r>
    </w:p>
    <w:p>
      <w:pPr>
        <w:spacing w:before="100"/>
      </w:pPr>
    </w:p>
    <w:p>
      <w:pPr>
        <w:spacing w:after="120" w:line="360"/>
        <w:jc w:val="center"/>
      </w:pPr>
      <w:r>
        <w:rPr>
          <w:rFonts w:ascii="Times New Roman" w:cs="Times New Roman" w:eastAsia="Times New Roman" w:hAnsi="Times New Roman"/>
          <w:b/>
          <w:bCs/>
          <w:sz w:val="24"/>
          <w:szCs w:val="24"/>
        </w:rPr>
        <w:t xml:space="preserve">Figure 1: AHRID System Architecture (End-to-End Pipeline)</w:t>
      </w:r>
    </w:p>
    <w:p>
      <w:pPr>
        <w:spacing w:after="120" w:line="360"/>
        <w:jc w:val="center"/>
      </w:pPr>
      <w:r>
        <w:rPr>
          <w:rFonts w:ascii="Times New Roman" w:cs="Times New Roman" w:eastAsia="Times New Roman" w:hAnsi="Times New Roman"/>
          <w:i/>
          <w:iCs/>
          <w:sz w:val="24"/>
          <w:szCs w:val="24"/>
        </w:rPr>
        <w:t xml:space="preserve">[Architecture diagram to be inserted]</w:t>
      </w:r>
    </w:p>
    <w:p>
      <w:pPr>
        <w:spacing w:before="100"/>
      </w:pPr>
    </w:p>
    <w:p>
      <w:pPr>
        <w:spacing w:after="120" w:line="360"/>
        <w:jc w:val="center"/>
      </w:pPr>
      <w:r>
        <w:rPr>
          <w:rFonts w:ascii="Times New Roman" w:cs="Times New Roman" w:eastAsia="Times New Roman" w:hAnsi="Times New Roman"/>
          <w:b/>
          <w:bCs/>
          <w:sz w:val="24"/>
          <w:szCs w:val="24"/>
        </w:rPr>
        <w:t xml:space="preserve">Figure 2: Agile Sprint Cycle with Embedded Ethical Review</w:t>
      </w:r>
    </w:p>
    <w:p>
      <w:pPr>
        <w:spacing w:after="120" w:line="360"/>
        <w:jc w:val="center"/>
      </w:pPr>
      <w:r>
        <w:rPr>
          <w:rFonts w:ascii="Times New Roman" w:cs="Times New Roman" w:eastAsia="Times New Roman" w:hAnsi="Times New Roman"/>
          <w:i/>
          <w:iCs/>
          <w:sz w:val="24"/>
          <w:szCs w:val="24"/>
        </w:rPr>
        <w:t xml:space="preserve">[Sprint cycle diagram to be inserted]</w:t>
      </w:r>
    </w:p>
    <w:p>
      <w:r>
        <w:br w:type="page"/>
      </w:r>
    </w:p>
    <w:p>
      <w:pPr>
        <w:pStyle w:val="Heading1"/>
        <w:spacing w:after="200" w:before="360" w:line="360"/>
      </w:pPr>
      <w:r>
        <w:rPr>
          <w:rFonts w:ascii="Times New Roman" w:cs="Times New Roman" w:eastAsia="Times New Roman" w:hAnsi="Times New Roman"/>
          <w:b/>
          <w:bCs/>
          <w:sz w:val="32"/>
          <w:szCs w:val="32"/>
        </w:rPr>
        <w:t xml:space="preserve">Acknowledgement</w:t>
      </w:r>
    </w:p>
    <w:p>
      <w:pPr>
        <w:spacing w:after="120" w:line="360"/>
        <w:jc w:val="both"/>
      </w:pPr>
      <w:r>
        <w:rPr>
          <w:rFonts w:ascii="Times New Roman" w:cs="Times New Roman" w:eastAsia="Times New Roman" w:hAnsi="Times New Roman"/>
          <w:sz w:val="24"/>
          <w:szCs w:val="24"/>
        </w:rPr>
        <w:t xml:space="preserve">The completion of this research would not have been possible without the guidance and support of several individuals and institutions. Foremost recognition is due to the project supervisor, Manoj Shrestha, whose critical feedback on research methodology and cybersecurity domain knowledge shaped the direction of this work throughout its development.</w:t>
      </w:r>
    </w:p>
    <w:p>
      <w:pPr>
        <w:spacing w:after="120" w:line="360"/>
        <w:jc w:val="both"/>
      </w:pPr>
      <w:r>
        <w:rPr>
          <w:rFonts w:ascii="Times New Roman" w:cs="Times New Roman" w:eastAsia="Times New Roman" w:hAnsi="Times New Roman"/>
          <w:sz w:val="24"/>
          <w:szCs w:val="24"/>
        </w:rPr>
        <w:t xml:space="preserve">Gratitude is extended to Softwarica College of IT &amp; E-Commerce and Coventry University for providing the academic framework and institutional resources that facilitated this investigation. Appreciation is also owed to the volunteer SME participants from Kathmandu Valley who contributed their time during usability and awareness evaluation sessions. Finally, sincere thanks are extended to family members and colleagues whose encouragement provided essential support throughout the duration of this project.</w:t>
      </w:r>
    </w:p>
    <w:p>
      <w:r>
        <w:br w:type="page"/>
      </w:r>
    </w:p>
    <w:p>
      <w:pPr>
        <w:pStyle w:val="Heading1"/>
        <w:spacing w:after="200" w:before="360" w:line="360"/>
      </w:pPr>
      <w:r>
        <w:rPr>
          <w:rFonts w:ascii="Times New Roman" w:cs="Times New Roman" w:eastAsia="Times New Roman" w:hAnsi="Times New Roman"/>
          <w:b/>
          <w:bCs/>
          <w:sz w:val="32"/>
          <w:szCs w:val="32"/>
        </w:rPr>
        <w:t xml:space="preserve">Abstract</w:t>
      </w:r>
    </w:p>
    <w:p>
      <w:pPr>
        <w:spacing w:after="120" w:line="360"/>
        <w:jc w:val="both"/>
      </w:pPr>
      <w:r>
        <w:rPr>
          <w:rFonts w:ascii="Times New Roman" w:cs="Times New Roman" w:eastAsia="Times New Roman" w:hAnsi="Times New Roman"/>
          <w:sz w:val="24"/>
          <w:szCs w:val="24"/>
        </w:rPr>
        <w:t xml:space="preserve">This thesis presents the design, development, and evaluation of the Adaptive Human-Risk Intelligence Dashboard (AHRID), a cybersecurity awareness training platform for non-technical small and medium enterprise (SME) staff in Kathmandu Valley, Nepal. The platform integrates live phishing URL ingestion from four OSINT feeds (Phishing.Database, OpenPhish, AlienVault OTX, URLScan.io) into an automated scenario generation pipeline spanning eight security categories, coupled with a dual-component machine learning architecture: a Random Forest classifier for individual risk-tier prediction and K-Means clustering for behavioural archetype discovery. SHAP (SHapley Additive exPlanations) translates predictions into plain-language explanations accessible to non-technical users. Evaluation demonstrated 91.4% classification accuracy, macro F1-score of 0.8878, and Cohen's Kappa of 0.8751, representing a 52.24 percentage-point F1 improvement over the rule-based scoring baseline. The research further examines ethical implications of automated behavioural risk scoring in workplace environments, proposing governance mechanisms for transparency and responsible deployment.</w:t>
      </w:r>
    </w:p>
    <w:p>
      <w:r>
        <w:br w:type="page"/>
      </w:r>
    </w:p>
    <w:p>
      <w:pPr>
        <w:pStyle w:val="Heading1"/>
        <w:spacing w:after="200" w:before="360" w:line="360"/>
      </w:pPr>
      <w:r>
        <w:rPr>
          <w:rFonts w:ascii="Times New Roman" w:cs="Times New Roman" w:eastAsia="Times New Roman" w:hAnsi="Times New Roman"/>
          <w:b/>
          <w:bCs/>
          <w:sz w:val="32"/>
          <w:szCs w:val="32"/>
        </w:rPr>
        <w:t xml:space="preserve">Keywords</w:t>
      </w:r>
    </w:p>
    <w:p>
      <w:pPr>
        <w:spacing w:after="120" w:line="360"/>
        <w:jc w:val="both"/>
      </w:pPr>
      <w:r>
        <w:rPr>
          <w:rFonts w:ascii="Times New Roman" w:cs="Times New Roman" w:eastAsia="Times New Roman" w:hAnsi="Times New Roman"/>
          <w:i/>
          <w:iCs/>
          <w:sz w:val="24"/>
          <w:szCs w:val="24"/>
        </w:rPr>
        <w:t xml:space="preserve">Cybersecurity Awareness, Human Risk Scoring, Adaptive Training, Random Forest, K-Means Clustering, SHAP Explainability, OSINT Threat Intelligence, Phishing, SME Cybersecurity, Protection Motivation Theory, Prospect Theory, Nepal, Kathmandu Valley, Ethical AI</w:t>
      </w:r>
    </w:p>
    <w:p>
      <w:r>
        <w:br w:type="page"/>
      </w:r>
    </w:p>
    <w:p>
      <w:pPr>
        <w:pStyle w:val="Heading1"/>
        <w:spacing w:after="200" w:before="360" w:line="360"/>
      </w:pPr>
      <w:r>
        <w:rPr>
          <w:rFonts w:ascii="Times New Roman" w:cs="Times New Roman" w:eastAsia="Times New Roman" w:hAnsi="Times New Roman"/>
          <w:b/>
          <w:bCs/>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line="360"/>
      </w:pPr>
      <w:r>
        <w:rPr>
          <w:rFonts w:ascii="Times New Roman" w:cs="Times New Roman" w:eastAsia="Times New Roman" w:hAnsi="Times New Roman"/>
          <w:b/>
          <w:bCs/>
          <w:sz w:val="32"/>
          <w:szCs w:val="32"/>
        </w:rPr>
        <w:t xml:space="preserve">List of Figures and Tables</w:t>
      </w:r>
    </w:p>
    <w:p>
      <w:pPr>
        <w:pStyle w:val="Heading2"/>
        <w:spacing w:after="180" w:before="240" w:line="360"/>
      </w:pPr>
      <w:r>
        <w:rPr>
          <w:rFonts w:ascii="Times New Roman" w:cs="Times New Roman" w:eastAsia="Times New Roman" w:hAnsi="Times New Roman"/>
          <w:b/>
          <w:bCs/>
          <w:sz w:val="28"/>
          <w:szCs w:val="28"/>
        </w:rPr>
        <w:t xml:space="preserve">Figures</w:t>
      </w:r>
    </w:p>
    <w:p>
      <w:pPr>
        <w:spacing w:after="120" w:line="360"/>
        <w:jc w:val="both"/>
      </w:pPr>
      <w:r>
        <w:rPr>
          <w:rFonts w:ascii="Times New Roman" w:cs="Times New Roman" w:eastAsia="Times New Roman" w:hAnsi="Times New Roman"/>
          <w:sz w:val="24"/>
          <w:szCs w:val="24"/>
        </w:rPr>
        <w:t xml:space="preserve">Figure 1: AHRID System Architecture (End-to-End Pipeline)</w:t>
      </w:r>
    </w:p>
    <w:p>
      <w:pPr>
        <w:spacing w:after="120" w:line="360"/>
        <w:jc w:val="both"/>
      </w:pPr>
      <w:r>
        <w:rPr>
          <w:rFonts w:ascii="Times New Roman" w:cs="Times New Roman" w:eastAsia="Times New Roman" w:hAnsi="Times New Roman"/>
          <w:sz w:val="24"/>
          <w:szCs w:val="24"/>
        </w:rPr>
        <w:t xml:space="preserve">Figure 2: Agile Sprint Cycle with Embedded Ethical Review</w:t>
      </w:r>
    </w:p>
    <w:p>
      <w:pPr>
        <w:spacing w:after="120" w:line="360"/>
        <w:jc w:val="both"/>
      </w:pPr>
      <w:r>
        <w:rPr>
          <w:rFonts w:ascii="Times New Roman" w:cs="Times New Roman" w:eastAsia="Times New Roman" w:hAnsi="Times New Roman"/>
          <w:i/>
          <w:iCs/>
          <w:sz w:val="24"/>
          <w:szCs w:val="24"/>
        </w:rPr>
        <w:t xml:space="preserve">[Additional figures to be appended as subsequent sections are completed]</w:t>
      </w:r>
    </w:p>
    <w:p>
      <w:pPr>
        <w:spacing w:before="100"/>
      </w:pPr>
    </w:p>
    <w:p>
      <w:pPr>
        <w:pStyle w:val="Heading2"/>
        <w:spacing w:after="180" w:before="240" w:line="360"/>
      </w:pPr>
      <w:r>
        <w:rPr>
          <w:rFonts w:ascii="Times New Roman" w:cs="Times New Roman" w:eastAsia="Times New Roman" w:hAnsi="Times New Roman"/>
          <w:b/>
          <w:bCs/>
          <w:sz w:val="28"/>
          <w:szCs w:val="28"/>
        </w:rPr>
        <w:t xml:space="preserve">Tables</w:t>
      </w:r>
    </w:p>
    <w:p>
      <w:pPr>
        <w:spacing w:after="120" w:line="360"/>
        <w:jc w:val="both"/>
      </w:pPr>
      <w:r>
        <w:rPr>
          <w:rFonts w:ascii="Times New Roman" w:cs="Times New Roman" w:eastAsia="Times New Roman" w:hAnsi="Times New Roman"/>
          <w:sz w:val="24"/>
          <w:szCs w:val="24"/>
        </w:rPr>
        <w:t xml:space="preserve">Table 1: Research Objectives Taxonomy</w:t>
      </w:r>
    </w:p>
    <w:p>
      <w:pPr>
        <w:spacing w:after="120" w:line="360"/>
        <w:jc w:val="both"/>
      </w:pPr>
      <w:r>
        <w:rPr>
          <w:rFonts w:ascii="Times New Roman" w:cs="Times New Roman" w:eastAsia="Times New Roman" w:hAnsi="Times New Roman"/>
          <w:i/>
          <w:iCs/>
          <w:sz w:val="24"/>
          <w:szCs w:val="24"/>
        </w:rPr>
        <w:t xml:space="preserve">[Additional tables to be appended as subsequent sections are completed]</w:t>
      </w:r>
    </w:p>
    <w:p>
      <w:r>
        <w:br w:type="page"/>
      </w:r>
    </w:p>
    <w:p>
      <w:pPr>
        <w:pStyle w:val="Heading1"/>
        <w:spacing w:after="200" w:before="360" w:line="360"/>
      </w:pPr>
      <w:r>
        <w:rPr>
          <w:rFonts w:ascii="Times New Roman" w:cs="Times New Roman" w:eastAsia="Times New Roman" w:hAnsi="Times New Roman"/>
          <w:b/>
          <w:bCs/>
          <w:sz w:val="32"/>
          <w:szCs w:val="32"/>
        </w:rPr>
        <w:t xml:space="preserve">Introduction</w:t>
      </w:r>
    </w:p>
    <w:p>
      <w:pPr>
        <w:pStyle w:val="Heading2"/>
        <w:spacing w:after="180" w:before="240" w:line="360"/>
      </w:pPr>
      <w:r>
        <w:rPr>
          <w:rFonts w:ascii="Times New Roman" w:cs="Times New Roman" w:eastAsia="Times New Roman" w:hAnsi="Times New Roman"/>
          <w:b/>
          <w:bCs/>
          <w:sz w:val="28"/>
          <w:szCs w:val="28"/>
        </w:rPr>
        <w:t xml:space="preserve">Background and Context</w:t>
      </w:r>
    </w:p>
    <w:p>
      <w:pPr>
        <w:spacing w:after="120" w:line="360"/>
        <w:jc w:val="both"/>
      </w:pPr>
      <w:r>
        <w:rPr>
          <w:rFonts w:ascii="Times New Roman" w:cs="Times New Roman" w:eastAsia="Times New Roman" w:hAnsi="Times New Roman"/>
          <w:sz w:val="24"/>
          <w:szCs w:val="24"/>
        </w:rPr>
        <w:t xml:space="preserve">Cybersecurity has emerged as one of the defining challenges facing organisations worldwide, with global cybercrime damages projected to reach USD 10.5 trillion annually by 2025 (Cybersecurity Ventures, 2023) and cybersecurity spending forecast to exceed USD 240 billion by 2026 (Gartner, 2025). Within this global landscape, small and medium enterprises (SMEs) face disproportionate risk: 49% have experienced at least one cyberattack, while 83% report being financially unprepared to recover from a significant breach (Hiscox Cyber Readiness Report, 2024). In Nepal specifically, internet penetration has reached approximately 56% of the population (16.6 million users), accelerated by the World Bank's USD 50 million Digital Transformation Project approved in February 2026. This rapid digitisation, combined with limited institutional cybersecurity capacity, creates conditions in which non-technical employees at Kathmandu Valley SMEs represent the primary attack surface for social engineering threats.</w:t>
      </w:r>
    </w:p>
    <w:p>
      <w:pPr>
        <w:spacing w:after="120" w:line="360"/>
        <w:jc w:val="both"/>
      </w:pPr>
      <w:r>
        <w:rPr>
          <w:rFonts w:ascii="Times New Roman" w:cs="Times New Roman" w:eastAsia="Times New Roman" w:hAnsi="Times New Roman"/>
          <w:sz w:val="24"/>
          <w:szCs w:val="24"/>
        </w:rPr>
        <w:t xml:space="preserve">Despite this investment, the human element remains implicated in approximately 62% of confirmed data breaches (Verizon DBIR, 2026), a figure that has persisted above 60% for four consecutive reporting cycles. Social engineering attacks occur 350% more frequently against SME employees than against large-enterprise counterparts (Barracuda Networks, 2023), and the Nepal Cyber Bureau recorded 18,926 cybercrime cases in fiscal year 2024-25, with financial fraud comprising 40.8% of reported incidents (Kathmandu Post, 2025). These breaches overwhelmingly exploit human behavioural vulnerabilities rather than technical system weaknesses. The gap between the growing volume of machine-readable threat intelligence and the absence of adaptive, explainable human-risk training systems for non-technical SME employees is the central problem that this research addresses.</w:t>
      </w:r>
    </w:p>
    <w:p>
      <w:pPr>
        <w:spacing w:after="120" w:line="360"/>
        <w:jc w:val="both"/>
      </w:pPr>
      <w:r>
        <w:rPr>
          <w:rFonts w:ascii="Times New Roman" w:cs="Times New Roman" w:eastAsia="Times New Roman" w:hAnsi="Times New Roman"/>
          <w:sz w:val="24"/>
          <w:szCs w:val="24"/>
        </w:rPr>
        <w:t xml:space="preserve">This thesis presents the design, development, and evaluation of the Adaptive Human-Risk Intelligence Dashboard (AHRID), a platform that ingests live phishing URLs from four publicly accessible OSINT feeds (Phishing.Database, OpenPhish, AlienVault OTX, URLScan.io), converts them into contextualised training scenarios across eight security categories, and applies a dual-component machine learning architecture to user behavioural data. A Random Forest classifier predicts individual risk tiers (low, medium, high, critical) from behavioural features including per-category accuracy, response time patterns, and session engagement metrics. A K-Means clustering algorithm discovers latent behavioural archetypes that enable persona-specific training. SHAP (SHapley Additive exPlanations) translates each prediction into plain-language factor attributions, ensuring non-technical users understand not only their risk level but the specific behaviours contributing to it. All 450 training scenarios are contextualised to Nepali digital infrastructure, referencing services such as eSewa, Khalti, Ncell, and Daraz to ensure ecological validity for the target population.</w:t>
      </w:r>
    </w:p>
    <w:p>
      <w:pPr>
        <w:pStyle w:val="Heading2"/>
        <w:spacing w:after="180" w:before="240" w:line="360"/>
      </w:pPr>
      <w:r>
        <w:rPr>
          <w:rFonts w:ascii="Times New Roman" w:cs="Times New Roman" w:eastAsia="Times New Roman" w:hAnsi="Times New Roman"/>
          <w:b/>
          <w:bCs/>
          <w:sz w:val="28"/>
          <w:szCs w:val="28"/>
        </w:rPr>
        <w:t xml:space="preserve">Problem Statement</w:t>
      </w:r>
    </w:p>
    <w:p>
      <w:pPr>
        <w:spacing w:after="120" w:line="360"/>
        <w:jc w:val="both"/>
      </w:pPr>
      <w:r>
        <w:rPr>
          <w:rFonts w:ascii="Times New Roman" w:cs="Times New Roman" w:eastAsia="Times New Roman" w:hAnsi="Times New Roman"/>
          <w:sz w:val="24"/>
          <w:szCs w:val="24"/>
        </w:rPr>
        <w:t xml:space="preserve">The majority of security awareness practices within Kathmandu Valley SMEs are not grounded in systematic behavioural analysis or adaptive risk assessment. Limited IT budgets preclude licensing enterprise platforms such as CybSafe or KnowBe4; the absence of dedicated security personnel means training responsibility defaults to general staff without specialised expertise; and the predominance of non-technical roles means the primary attack surface consists of employees who lack the technical vocabulary to interpret conventional risk indicators. Human decision-making in security contexts is further subject to well-documented cognitive biases: employees evaluate message legitimacy through superficial familiarity rather than structural analysis, underestimate the probability of personally encountering attacks due to optimism bias, and accept communications matching expected patterns without critical scrutiny. Research specific to the Nepali context confirms that SMEs commonly rely on outdated infrastructure, lack formalised security policies, and provide minimal structured training (Adhikari and Molla, 2024). Existing commercial platforms assume enterprise-grade infrastructure and baseline technical literacy that most Kathmandu Valley SMEs do not possess, rendering these solutions structurally inaccessible to the organisations most vulnerable to the threats they address.</w:t>
      </w:r>
    </w:p>
    <w:p>
      <w:pPr>
        <w:spacing w:after="120" w:line="360"/>
        <w:jc w:val="both"/>
      </w:pPr>
      <w:r>
        <w:rPr>
          <w:rFonts w:ascii="Times New Roman" w:cs="Times New Roman" w:eastAsia="Times New Roman" w:hAnsi="Times New Roman"/>
          <w:sz w:val="24"/>
          <w:szCs w:val="24"/>
        </w:rPr>
        <w:t xml:space="preserve">The present research addresses this gap by exploring how constructs from computer science (ensemble classification, unsupervised clustering, model explainability), behavioural psychology (Protection Motivation Theory, Prospect Theory, cognitive bias mitigation), and organisational risk management (role-based access control, graduated intervention frameworks) can converge to produce an adaptive, explainable, and accessible human-risk training system designed specifically for non-technical SME employees in a developing-economy context.</w:t>
      </w:r>
    </w:p>
    <w:p>
      <w:pPr>
        <w:pStyle w:val="Heading2"/>
        <w:spacing w:after="180" w:before="240" w:line="360"/>
      </w:pPr>
      <w:r>
        <w:rPr>
          <w:rFonts w:ascii="Times New Roman" w:cs="Times New Roman" w:eastAsia="Times New Roman" w:hAnsi="Times New Roman"/>
          <w:b/>
          <w:bCs/>
          <w:sz w:val="28"/>
          <w:szCs w:val="28"/>
        </w:rPr>
        <w:t xml:space="preserve">Theoretical Framework</w:t>
      </w:r>
    </w:p>
    <w:p>
      <w:pPr>
        <w:spacing w:after="120" w:line="360"/>
        <w:jc w:val="both"/>
      </w:pPr>
      <w:r>
        <w:rPr>
          <w:rFonts w:ascii="Times New Roman" w:cs="Times New Roman" w:eastAsia="Times New Roman" w:hAnsi="Times New Roman"/>
          <w:sz w:val="24"/>
          <w:szCs w:val="24"/>
        </w:rPr>
        <w:t xml:space="preserve">The theoretical foundations informing AHRID's design serve as design justifications rather than background literature. Three established frameworks explain why the system presents risk information in a particular format, why training is adaptive rather than static, and why predictions are accompanied by per-feature explanations rather than opaque scores.</w:t>
      </w:r>
    </w:p>
    <w:p>
      <w:pPr>
        <w:spacing w:after="120" w:line="360"/>
        <w:jc w:val="both"/>
      </w:pPr>
      <w:r>
        <w:rPr>
          <w:rFonts w:ascii="Times New Roman" w:cs="Times New Roman" w:eastAsia="Times New Roman" w:hAnsi="Times New Roman"/>
          <w:sz w:val="24"/>
          <w:szCs w:val="24"/>
        </w:rPr>
        <w:t xml:space="preserve">Protection Motivation Theory (Rogers, 1975; 1983) posits that protective behaviour is determined by threat appraisal (perceived severity and vulnerability) and coping appraisal (self-efficacy and response efficacy). Workman, Bommer, and Straub (2008) demonstrate that coping self-efficacy frequently outweighs threat awareness as a predictor of security compliance. This implies that presenting risk scores without actionable guidance may increase anxiety while reducing perceived capability, producing learned helplessness rather than behavioural change. AHRID addresses this by pairing every risk indicator with a targeted training scenario and a SHAP-generated plain-language explanation of contributing behavioural factors, translating threat awareness directly into coping capacity.</w:t>
      </w:r>
    </w:p>
    <w:p>
      <w:pPr>
        <w:spacing w:after="120" w:line="360"/>
        <w:jc w:val="both"/>
      </w:pPr>
      <w:r>
        <w:rPr>
          <w:rFonts w:ascii="Times New Roman" w:cs="Times New Roman" w:eastAsia="Times New Roman" w:hAnsi="Times New Roman"/>
          <w:sz w:val="24"/>
          <w:szCs w:val="24"/>
        </w:rPr>
        <w:t xml:space="preserve">Prospect Theory (Kahneman and Tversky, 1979) explains systematic deviations from rational decision-making in security contexts through three documented biases. Loss aversion leads employees to overweight the immediate effort cost of secure behaviours relative to the distant probability of a breach, producing insecure workarounds that Beautement, Sasse, and Wonham (2008) formalise as a finite compliance budget. The availability heuristic causes threat assessments based on memorable incidents rather than statistical base rates, systematically underestimating novel attack vectors. Confirmation bias predisposes employees to accept communications matching expected patterns while discounting structural phishing indicators. AHRID addresses these biases through Nepal-contextualised threat framing that leverages loss aversion, live threat feed integration that surfaces contemporary attack patterns beyond historical experience, and adaptive scenario selection that targets each individual's weakest security category.</w:t>
      </w:r>
    </w:p>
    <w:p>
      <w:pPr>
        <w:spacing w:after="120" w:line="360"/>
        <w:jc w:val="both"/>
      </w:pPr>
      <w:r>
        <w:rPr>
          <w:rFonts w:ascii="Times New Roman" w:cs="Times New Roman" w:eastAsia="Times New Roman" w:hAnsi="Times New Roman"/>
          <w:sz w:val="24"/>
          <w:szCs w:val="24"/>
        </w:rPr>
        <w:t xml:space="preserve">The Technology Acceptance Model (Davis, 1989; Venkatesh and Bala, 2008) establishes that systems perceived as difficult to use fail as behavioural interventions regardless of analytical accuracy. AHRID therefore incorporates usability as a first-class design criterion: SHAP explanations replace technical notation with natural language, role-specific scenarios replace generic content, and the interface is designed for users with no cybersecurity background. Across all three frameworks, a consistent design constraint emerges: the system complements human decision-making rather than replacing it. Risk scores inform employees about their vulnerability profile; they do not make security decisions on their behalf. Cluster archetypes provide managers with team-level behavioural insights; they do not automate personnel actions. All consequential decisions remain with human actors operating within full organisational context.</w:t>
      </w:r>
    </w:p>
    <w:p>
      <w:pPr>
        <w:pStyle w:val="Heading2"/>
        <w:spacing w:after="180" w:before="240" w:line="360"/>
      </w:pPr>
      <w:r>
        <w:rPr>
          <w:rFonts w:ascii="Times New Roman" w:cs="Times New Roman" w:eastAsia="Times New Roman" w:hAnsi="Times New Roman"/>
          <w:b/>
          <w:bCs/>
          <w:sz w:val="28"/>
          <w:szCs w:val="28"/>
        </w:rPr>
        <w:t xml:space="preserve">Machine Learning in Cybersecurity</w:t>
      </w:r>
    </w:p>
    <w:p>
      <w:pPr>
        <w:spacing w:after="120" w:line="360"/>
        <w:jc w:val="both"/>
      </w:pPr>
      <w:r>
        <w:rPr>
          <w:rFonts w:ascii="Times New Roman" w:cs="Times New Roman" w:eastAsia="Times New Roman" w:hAnsi="Times New Roman"/>
          <w:sz w:val="24"/>
          <w:szCs w:val="24"/>
        </w:rPr>
        <w:t xml:space="preserve">Machine learning has demonstrated effectiveness in domains sharing structural characteristics with cybersecurity human-risk assessment: financial fraud detection under severe class imbalance (Buczak and Guven, 2016), healthcare patient stratification through unsupervised clustering, and manufacturing quality control under adversarial conditions. These applications share high-dimensional data, adversarial environments where patterns evolve continuously, and significant costs associated with both false negatives and false positives. Random Forest classifiers have achieved accuracy exceeding 97% in network intrusion detection tasks (Resende and Drummond, 2018), while SHAP and LIME have gained increasing adoption as explainability methods in security-critical applications where opaque predictions are both operationally and ethically unacceptable (Lundberg and Lee, 2017).</w:t>
      </w:r>
    </w:p>
    <w:p>
      <w:pPr>
        <w:spacing w:after="120" w:line="360"/>
        <w:jc w:val="both"/>
      </w:pPr>
      <w:r>
        <w:rPr>
          <w:rFonts w:ascii="Times New Roman" w:cs="Times New Roman" w:eastAsia="Times New Roman" w:hAnsi="Times New Roman"/>
          <w:sz w:val="24"/>
          <w:szCs w:val="24"/>
        </w:rPr>
        <w:t xml:space="preserve">Cybersecurity organisations have adopted these technologies, but implementations remain fragmented across the threat-to-training pipeline. CybSafe tracks behavioural metrics but lacks live threat intelligence integration. KnowBe4 delivers phishing simulations but employs opaque scoring with no per-user explainability. Hoxhunt provides adaptive micro-training but requires enterprise email infrastructure unavailable to SMEs. None of these platforms fuses live OSINT threat ingestion, behavioural classification, unsupervised archetype discovery, and per-user SHAP explainability in a single SME-accessible pipeline. This architectural fragmentation, rather than the absence of machine learning in cybersecurity, is the specific gap that AHRID addresses.</w:t>
      </w:r>
    </w:p>
    <w:p>
      <w:pPr>
        <w:spacing w:after="120" w:line="360"/>
        <w:jc w:val="both"/>
      </w:pPr>
      <w:r>
        <w:rPr>
          <w:rFonts w:ascii="Times New Roman" w:cs="Times New Roman" w:eastAsia="Times New Roman" w:hAnsi="Times New Roman"/>
          <w:sz w:val="24"/>
          <w:szCs w:val="24"/>
        </w:rPr>
        <w:t xml:space="preserve">AHRID addresses this gap through a dual-component machine learning architecture. The supervised component, a Random Forest classifier, predicts individual risk tiers from a behavioural feature vector encompassing per-category accuracy scores, response time distributions, and session engagement metrics. The unsupervised component, a K-Means clustering algorithm, discovers five latent behavioural archetypes that enable persona-specific intervention guidance for managers. SHAP TreeExplainer provides per-feature attribution, translating each prediction into plain-language risk factors. The complete technical implementation, including feature engineering, class balancing, hyperparameter selection, and evaluation methodology, is presented in the Methodology and Technical Development sections.</w:t>
      </w:r>
    </w:p>
    <w:p>
      <w:pPr>
        <w:pStyle w:val="Heading2"/>
        <w:spacing w:after="180" w:before="240" w:line="360"/>
      </w:pPr>
      <w:r>
        <w:rPr>
          <w:rFonts w:ascii="Times New Roman" w:cs="Times New Roman" w:eastAsia="Times New Roman" w:hAnsi="Times New Roman"/>
          <w:b/>
          <w:bCs/>
          <w:sz w:val="28"/>
          <w:szCs w:val="28"/>
        </w:rPr>
        <w:t xml:space="preserve">Aim and Objectives</w:t>
      </w:r>
    </w:p>
    <w:p>
      <w:pPr>
        <w:spacing w:after="120" w:line="360"/>
        <w:jc w:val="both"/>
      </w:pPr>
      <w:r>
        <w:rPr>
          <w:rFonts w:ascii="Times New Roman" w:cs="Times New Roman" w:eastAsia="Times New Roman" w:hAnsi="Times New Roman"/>
          <w:sz w:val="24"/>
          <w:szCs w:val="24"/>
        </w:rPr>
        <w:t xml:space="preserve">The primary aim of this research is to design, develop, and evaluate an adaptive cybersecurity awareness training platform that integrates live OSINT threat intelligence with behavioural machine learning to generate personalised, explainable risk assessments and deliver adaptive training to non-technical SME staff in Kathmandu Valley, while critically examining the ethical implications of automated behavioural risk scoring in workplace environments. This involves:</w:t>
      </w:r>
    </w:p>
    <w:p>
      <w:pPr>
        <w:pStyle w:val="ListParagraph"/>
        <w:numPr>
          <w:ilvl w:val="0"/>
          <w:numId w:val="2"/>
        </w:numPr>
        <w:spacing w:after="60" w:line="360"/>
      </w:pPr>
      <w:r>
        <w:rPr>
          <w:rFonts w:ascii="Times New Roman" w:cs="Times New Roman" w:eastAsia="Times New Roman" w:hAnsi="Times New Roman"/>
          <w:sz w:val="24"/>
          <w:szCs w:val="24"/>
        </w:rPr>
        <w:t xml:space="preserve">Integrating live phishing URL feeds from four OSINT sources into an automated scenario generation pipeline spanning eight security categories with deduplication and contextual classification.</w:t>
      </w:r>
    </w:p>
    <w:p>
      <w:pPr>
        <w:pStyle w:val="ListParagraph"/>
        <w:numPr>
          <w:ilvl w:val="0"/>
          <w:numId w:val="2"/>
        </w:numPr>
        <w:spacing w:after="60" w:line="360"/>
      </w:pPr>
      <w:r>
        <w:rPr>
          <w:rFonts w:ascii="Times New Roman" w:cs="Times New Roman" w:eastAsia="Times New Roman" w:hAnsi="Times New Roman"/>
          <w:sz w:val="24"/>
          <w:szCs w:val="24"/>
        </w:rPr>
        <w:t xml:space="preserve">Applying Random Forest classification to predict individual risk tiers with measurable improvement over a rule-based scoring baseline, evaluated through F1-score, PR-AUC, and Cohen's Kappa.</w:t>
      </w:r>
    </w:p>
    <w:p>
      <w:pPr>
        <w:pStyle w:val="ListParagraph"/>
        <w:numPr>
          <w:ilvl w:val="0"/>
          <w:numId w:val="2"/>
        </w:numPr>
        <w:spacing w:after="60" w:line="360"/>
      </w:pPr>
      <w:r>
        <w:rPr>
          <w:rFonts w:ascii="Times New Roman" w:cs="Times New Roman" w:eastAsia="Times New Roman" w:hAnsi="Times New Roman"/>
          <w:sz w:val="24"/>
          <w:szCs w:val="24"/>
        </w:rPr>
        <w:t xml:space="preserve">Applying K-Means clustering to discover behavioural archetypes enabling persona-specific training communication and team-level risk reporting.</w:t>
      </w:r>
    </w:p>
    <w:p>
      <w:pPr>
        <w:pStyle w:val="ListParagraph"/>
        <w:numPr>
          <w:ilvl w:val="0"/>
          <w:numId w:val="2"/>
        </w:numPr>
        <w:spacing w:after="60" w:line="360"/>
      </w:pPr>
      <w:r>
        <w:rPr>
          <w:rFonts w:ascii="Times New Roman" w:cs="Times New Roman" w:eastAsia="Times New Roman" w:hAnsi="Times New Roman"/>
          <w:sz w:val="24"/>
          <w:szCs w:val="24"/>
        </w:rPr>
        <w:t xml:space="preserve">Delivering adaptive, role-targeted training with mastery-weighted scenario selection and per-user SHAP-generated plain-language risk explanations.</w:t>
      </w:r>
    </w:p>
    <w:p>
      <w:pPr>
        <w:pStyle w:val="ListParagraph"/>
        <w:numPr>
          <w:ilvl w:val="0"/>
          <w:numId w:val="2"/>
        </w:numPr>
        <w:spacing w:after="60" w:line="360"/>
      </w:pPr>
      <w:r>
        <w:rPr>
          <w:rFonts w:ascii="Times New Roman" w:cs="Times New Roman" w:eastAsia="Times New Roman" w:hAnsi="Times New Roman"/>
          <w:sz w:val="24"/>
          <w:szCs w:val="24"/>
        </w:rPr>
        <w:t xml:space="preserve">Examining the ethical implications of automated behavioural risk scoring, including surveillance boundaries, consent mechanisms, and governance requirements under Nepal's regulatory framework.</w:t>
      </w:r>
    </w:p>
    <w:p>
      <w:pPr>
        <w:spacing w:before="100"/>
      </w:pPr>
    </w:p>
    <w:p>
      <w:pPr>
        <w:spacing w:after="120" w:line="360"/>
        <w:jc w:val="both"/>
      </w:pPr>
      <w:r>
        <w:rPr>
          <w:rFonts w:ascii="Times New Roman" w:cs="Times New Roman" w:eastAsia="Times New Roman" w:hAnsi="Times New Roman"/>
          <w:b/>
          <w:bCs/>
          <w:sz w:val="24"/>
          <w:szCs w:val="24"/>
        </w:rPr>
        <w:t xml:space="preserve">Research Objectives</w:t>
      </w:r>
    </w:p>
    <w:p>
      <w:pPr>
        <w:spacing w:after="120" w:line="360"/>
        <w:jc w:val="both"/>
      </w:pPr>
      <w:r>
        <w:rPr>
          <w:rFonts w:ascii="Times New Roman" w:cs="Times New Roman" w:eastAsia="Times New Roman" w:hAnsi="Times New Roman"/>
          <w:sz w:val="24"/>
          <w:szCs w:val="24"/>
        </w:rPr>
        <w:t xml:space="preserve">Each objective maps to one of three types: Learn and Understand (knowledge foundation), Design and Develop (system artefact creation), or Feedback and Submit (evaluation and closure). Every objective corresponds to a visible thesis section; an objective without a corresponding chapter represents a structural gap.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560"/>
        <w:gridCol w:w="1500"/>
        <w:gridCol w:w="1800"/>
      </w:tblGrid>
      <w:tr>
        <w:tc>
          <w:tcPr>
            <w:tcW w:type="dxa" w:w="500"/>
            <w:tcBorders>
              <w:top w:val="single" w:color="999999" w:sz="1"/>
              <w:left w:val="single" w:color="999999" w:sz="1"/>
              <w:bottom w:val="single" w:color="999999" w:sz="1"/>
              <w:right w:val="single" w:color="999999" w:sz="1"/>
            </w:tcBorders>
            <w:shd w:fill="D9D9D9" w:val="clear"/>
            <w:tcMar>
              <w:top w:type="dxa" w:w="60"/>
              <w:left w:type="dxa" w:w="100"/>
              <w:bottom w:type="dxa" w:w="60"/>
              <w:right w:type="dxa" w:w="100"/>
            </w:tcMar>
          </w:tcPr>
          <w:p>
            <w:pPr>
              <w:spacing w:after="0" w:line="276"/>
            </w:pPr>
            <w:r>
              <w:rPr>
                <w:rFonts w:ascii="Times New Roman" w:cs="Times New Roman" w:eastAsia="Times New Roman" w:hAnsi="Times New Roman"/>
                <w:b/>
                <w:bCs/>
                <w:sz w:val="24"/>
                <w:szCs w:val="24"/>
              </w:rPr>
              <w:t xml:space="preserve">#</w:t>
            </w:r>
          </w:p>
        </w:tc>
        <w:tc>
          <w:tcPr>
            <w:tcW w:type="dxa" w:w="5560"/>
            <w:tcBorders>
              <w:top w:val="single" w:color="999999" w:sz="1"/>
              <w:left w:val="single" w:color="999999" w:sz="1"/>
              <w:bottom w:val="single" w:color="999999" w:sz="1"/>
              <w:right w:val="single" w:color="999999" w:sz="1"/>
            </w:tcBorders>
            <w:shd w:fill="D9D9D9" w:val="clear"/>
            <w:tcMar>
              <w:top w:type="dxa" w:w="60"/>
              <w:left w:type="dxa" w:w="100"/>
              <w:bottom w:type="dxa" w:w="60"/>
              <w:right w:type="dxa" w:w="100"/>
            </w:tcMar>
          </w:tcPr>
          <w:p>
            <w:pPr>
              <w:spacing w:after="0" w:line="276"/>
            </w:pPr>
            <w:r>
              <w:rPr>
                <w:rFonts w:ascii="Times New Roman" w:cs="Times New Roman" w:eastAsia="Times New Roman" w:hAnsi="Times New Roman"/>
                <w:b/>
                <w:bCs/>
                <w:sz w:val="24"/>
                <w:szCs w:val="24"/>
              </w:rPr>
              <w:t xml:space="preserve">Objective</w:t>
            </w:r>
          </w:p>
        </w:tc>
        <w:tc>
          <w:tcPr>
            <w:tcW w:type="dxa" w:w="1500"/>
            <w:tcBorders>
              <w:top w:val="single" w:color="999999" w:sz="1"/>
              <w:left w:val="single" w:color="999999" w:sz="1"/>
              <w:bottom w:val="single" w:color="999999" w:sz="1"/>
              <w:right w:val="single" w:color="999999" w:sz="1"/>
            </w:tcBorders>
            <w:shd w:fill="D9D9D9" w:val="clear"/>
            <w:tcMar>
              <w:top w:type="dxa" w:w="60"/>
              <w:left w:type="dxa" w:w="100"/>
              <w:bottom w:type="dxa" w:w="60"/>
              <w:right w:type="dxa" w:w="100"/>
            </w:tcMar>
          </w:tcPr>
          <w:p>
            <w:pPr>
              <w:spacing w:after="0" w:line="276"/>
            </w:pPr>
            <w:r>
              <w:rPr>
                <w:rFonts w:ascii="Times New Roman" w:cs="Times New Roman" w:eastAsia="Times New Roman" w:hAnsi="Times New Roman"/>
                <w:b/>
                <w:bCs/>
                <w:sz w:val="24"/>
                <w:szCs w:val="24"/>
              </w:rPr>
              <w:t xml:space="preserve">Type</w:t>
            </w:r>
          </w:p>
        </w:tc>
        <w:tc>
          <w:tcPr>
            <w:tcW w:type="dxa" w:w="1800"/>
            <w:tcBorders>
              <w:top w:val="single" w:color="999999" w:sz="1"/>
              <w:left w:val="single" w:color="999999" w:sz="1"/>
              <w:bottom w:val="single" w:color="999999" w:sz="1"/>
              <w:right w:val="single" w:color="999999" w:sz="1"/>
            </w:tcBorders>
            <w:shd w:fill="D9D9D9" w:val="clear"/>
            <w:tcMar>
              <w:top w:type="dxa" w:w="60"/>
              <w:left w:type="dxa" w:w="100"/>
              <w:bottom w:type="dxa" w:w="60"/>
              <w:right w:type="dxa" w:w="100"/>
            </w:tcMar>
          </w:tcPr>
          <w:p>
            <w:pPr>
              <w:spacing w:after="0" w:line="276"/>
            </w:pPr>
            <w:r>
              <w:rPr>
                <w:rFonts w:ascii="Times New Roman" w:cs="Times New Roman" w:eastAsia="Times New Roman" w:hAnsi="Times New Roman"/>
                <w:b/>
                <w:bCs/>
                <w:sz w:val="24"/>
                <w:szCs w:val="24"/>
              </w:rPr>
              <w:t xml:space="preserve">Maps To</w:t>
            </w:r>
          </w:p>
        </w:tc>
      </w:tr>
      <w:tr>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1</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To analyse the cybersecurity threat landscape for non-technical SME staff in Kathmandu Valley, focusing on social engineering vectors, cognitive vulnerabilities, and structural barriers to effective awareness training.</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Learn &amp; Understand</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Literature Review</w:t>
            </w:r>
          </w:p>
        </w:tc>
      </w:tr>
      <w:tr>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2</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To investigate OSINT threat intelligence sources and evaluate their suitability for automated scenario generation within an SME-focused training platform.</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Learn &amp; Understand</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Literature Review</w:t>
            </w:r>
          </w:p>
        </w:tc>
      </w:tr>
      <w:tr>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3</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To examine existing platforms (CybSafe, KnowBe4, Hoxhunt) and identify gaps in live threat integration, per-user explainability, and SME accessibility.</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Learn &amp; Understand</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Literature Review</w:t>
            </w:r>
          </w:p>
        </w:tc>
      </w:tr>
      <w:tr>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4</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To design, develop, and evaluate AHRID by integrating live threat ingestion with Random Forest classification, K-Means clustering, and SHAP explainability, assessing performance against a rule-based scoring baseline.</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Design &amp; Develop</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Methodology; Results</w:t>
            </w:r>
          </w:p>
        </w:tc>
      </w:tr>
      <w:tr>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5</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To examine ethical implications of automated behavioural risk scoring, document findings and limitations, and propose governance recommendations for SME deployment.</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Feedback &amp; Submit</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Ethics; Discussion</w:t>
            </w:r>
          </w:p>
        </w:tc>
      </w:tr>
    </w:tbl>
    <w:p>
      <w:pPr>
        <w:spacing w:before="100"/>
      </w:pPr>
    </w:p>
    <w:p>
      <w:pPr>
        <w:spacing w:after="120" w:line="360"/>
        <w:jc w:val="center"/>
      </w:pPr>
      <w:r>
        <w:rPr>
          <w:rFonts w:ascii="Times New Roman" w:cs="Times New Roman" w:eastAsia="Times New Roman" w:hAnsi="Times New Roman"/>
          <w:i/>
          <w:iCs/>
          <w:sz w:val="24"/>
          <w:szCs w:val="24"/>
        </w:rPr>
        <w:t xml:space="preserve">Table 1: Research Objectives Taxonomy</w:t>
      </w:r>
    </w:p>
    <w:p>
      <w:pPr>
        <w:pStyle w:val="Heading2"/>
        <w:spacing w:after="180" w:before="240" w:line="360"/>
      </w:pPr>
      <w:r>
        <w:rPr>
          <w:rFonts w:ascii="Times New Roman" w:cs="Times New Roman" w:eastAsia="Times New Roman" w:hAnsi="Times New Roman"/>
          <w:b/>
          <w:bCs/>
          <w:sz w:val="28"/>
          <w:szCs w:val="28"/>
        </w:rPr>
        <w:t xml:space="preserve">Justification</w:t>
      </w:r>
    </w:p>
    <w:p>
      <w:pPr>
        <w:spacing w:after="120" w:line="360"/>
        <w:jc w:val="both"/>
      </w:pPr>
      <w:r>
        <w:rPr>
          <w:rFonts w:ascii="Times New Roman" w:cs="Times New Roman" w:eastAsia="Times New Roman" w:hAnsi="Times New Roman"/>
          <w:sz w:val="24"/>
          <w:szCs w:val="24"/>
        </w:rPr>
        <w:t xml:space="preserve">The significance of this research lies at the intersection of three domains. From a technical perspective, no existing open-source platform integrates live OSINT threat ingestion with behavioural machine learning classification and per-user SHAP explainability in a single pipeline accessible to SMEs without enterprise infrastructure. From a contextual perspective, Nepal's rapidly expanding digital infrastructure and escalating cybercrime rates (18,926 cases in FY 2024-25) create urgent demand for accessible security training that existing enterprise platforms cannot serve due to cost, complexity, and infrastructure assumptions. From a theoretical perspective, the research contributes applied evidence on the use of Protection Motivation Theory and Prospect Theory in the design of adaptive cybersecurity training systems, an area identified by Sommestad et al. (2015) as requiring further empirical investigation in real-world deployment contexts.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80" w:before="24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160" w:before="200"/>
      <w:outlineLvl w:val="2"/>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2026-06-29T15:27:02.965Z</dcterms:created>
  <dcterms:modified xsi:type="dcterms:W3CDTF">2026-06-29T15:27:02.966Z</dcterms:modified>
</cp:coreProperties>
</file>

<file path=docProps/custom.xml><?xml version="1.0" encoding="utf-8"?>
<Properties xmlns="http://schemas.openxmlformats.org/officeDocument/2006/custom-properties" xmlns:vt="http://schemas.openxmlformats.org/officeDocument/2006/docPropsVTypes"/>
</file>