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p>
    <w:p/>
    <w:p/>
    <w:p>
      <w:pPr>
        <w:jc w:val="center"/>
      </w:pPr>
      <w:r>
        <w:rPr>
          <w:b/>
          <w:color w:val="92C024"/>
          <w:sz w:val="56"/>
        </w:rPr>
        <w:t>INFORME DE AUDITORÍA</w:t>
        <w:br/>
        <w:t>DE PROCESOS OPERATIVOS</w:t>
      </w:r>
    </w:p>
    <w:p/>
    <w:p>
      <w:pPr>
        <w:jc w:val="center"/>
      </w:pPr>
      <w:r>
        <w:rPr>
          <w:color w:val="92C024"/>
          <w:sz w:val="32"/>
        </w:rPr>
        <w:t>━━━━━━━━━━━━━━━━━━━━━━━</w:t>
      </w:r>
    </w:p>
    <w:p/>
    <w:p/>
    <w:p>
      <w:pPr>
        <w:jc w:val="center"/>
      </w:pPr>
      <w:r/>
    </w:p>
    <w:p/>
    <w:p>
      <w:pPr>
        <w:jc w:val="center"/>
      </w:pPr>
      <w:r>
        <w:rPr>
          <w:color w:val="342108"/>
          <w:sz w:val="36"/>
        </w:rPr>
        <w:t>URIBE ENEA</w:t>
        <w:br/>
        <w:t>Gestora de Cooperativas de Viviendas</w:t>
      </w:r>
    </w:p>
    <w:p/>
    <w:p/>
    <w:p/>
    <w:p>
      <w:pPr>
        <w:jc w:val="center"/>
      </w:pPr>
      <w:r>
        <w:rPr>
          <w:color w:val="342108"/>
          <w:sz w:val="24"/>
        </w:rPr>
        <w:t>Noviembre 2024</w:t>
        <w:br/>
        <w:br/>
      </w:r>
      <w:r>
        <w:rPr>
          <w:i/>
          <w:color w:val="808080"/>
          <w:sz w:val="20"/>
        </w:rPr>
        <w:t>Documento Confidencial</w:t>
      </w:r>
    </w:p>
    <w:p>
      <w:r>
        <w:br w:type="page"/>
      </w:r>
    </w:p>
    <w:p>
      <w:pPr>
        <w:pStyle w:val="Heading1"/>
      </w:pPr>
      <w:r>
        <w:rPr>
          <w:b/>
          <w:color w:val="92C024"/>
          <w:sz w:val="32"/>
        </w:rPr>
        <w:t>INFORME DE AUDITORÍA DE PROCESOS OPERATIVOS</w:t>
      </w:r>
    </w:p>
    <w:p/>
    <w:p>
      <w:pPr>
        <w:pStyle w:val="Heading1"/>
      </w:pPr>
      <w:r>
        <w:rPr>
          <w:b/>
          <w:color w:val="92C024"/>
          <w:sz w:val="32"/>
        </w:rPr>
        <w:t>URIBE ENEA – GESTORA DE COOPERATIVAS DE VIVIENDAS</w:t>
      </w:r>
    </w:p>
    <w:p/>
    <w:p>
      <w:pPr/>
      <w:r>
        <w:rPr>
          <w:sz w:val="22"/>
        </w:rPr>
        <w:t>(Versión revisada y plenamente narrativa, sin esquemas, con redacción clara, fluida y comprensible para cualquier miembro de la sociedad, manteniendo el rigor profesional propio de una consultoría.)</w:t>
      </w:r>
    </w:p>
    <w:p/>
    <w:p>
      <w:pPr>
        <w:pStyle w:val="Heading1"/>
      </w:pPr>
      <w:r>
        <w:rPr>
          <w:b/>
          <w:color w:val="92C024"/>
          <w:sz w:val="32"/>
        </w:rPr>
        <w:t>1. DESCRIPCIÓN DE LA SITUACIÓN INICIAL</w:t>
      </w:r>
    </w:p>
    <w:p/>
    <w:p>
      <w:pPr>
        <w:pStyle w:val="Heading2"/>
      </w:pPr>
      <w:r>
        <w:rPr>
          <w:b/>
          <w:color w:val="92C024"/>
          <w:sz w:val="26"/>
        </w:rPr>
        <w:t>1.1. Contexto operativo y modelo de negocio</w:t>
      </w:r>
    </w:p>
    <w:p/>
    <w:p>
      <w:pPr/>
      <w:r>
        <w:rPr>
          <w:sz w:val="22"/>
        </w:rPr>
        <w:t>Uribe Enea desarrolla una actividad compleja y altamente especializada como gestora de cooperativas de viviendas, actuando como punto de unión entre múltiples agentes externos —cooperativistas, asesorías fiscales y contables, arquitectos, constructoras, notarías, entidades financieras y administraciones públicas— y las necesidades internas de cada proyecto. La gestora acompaña cada promoción durante todas sus fases: desde la identificación inicial de suelos potenciales hasta el seguimiento post-entrega durante el periodo legal establecido. Este modelo genera una carga considerable de documentación, comunicaciones y coordinación, que actualmente se gestiona con precisión y profesionalidad gracias al conocimiento experto acumulado a lo largo de los años.</w:t>
      </w:r>
    </w:p>
    <w:p/>
    <w:p>
      <w:pPr/>
      <w:r>
        <w:rPr>
          <w:sz w:val="22"/>
        </w:rPr>
        <w:t>El funcionamiento actual es sólido: los procesos están bien diseñados, la estructura documental resulta coherente y la organización interna responde a criterios de transparencia y rigor. Sin embargo, el sistema depende en gran medida del trabajo manual y de la intervención directa de quien ha construido y consolidado estos procedimientos, lo que genera un volumen de trabajo diario elevado y un riesgo operativo ante escenarios de ausencia o picos de carga administrativa.</w:t>
      </w:r>
    </w:p>
    <w:p/>
    <w:p>
      <w:pPr>
        <w:pStyle w:val="Heading2"/>
      </w:pPr>
      <w:r>
        <w:rPr>
          <w:b/>
          <w:color w:val="92C024"/>
          <w:sz w:val="26"/>
        </w:rPr>
        <w:t>1.2. Metodología de análisis</w:t>
      </w:r>
    </w:p>
    <w:p/>
    <w:p>
      <w:pPr/>
      <w:r>
        <w:rPr>
          <w:sz w:val="22"/>
        </w:rPr>
        <w:t>Para comprender con precisión el funcionamiento real de Uribe Enea, se realizó un análisis estructurado que incluyó una sesión completa de levantamiento de procesos, el estudio detallado de todos los materiales aportados (documentación económica, organizativa, documental y operativa), y un proceso posterior de validación interna que permitió contrastar interpretaciones y afinar el diagnóstico.</w:t>
      </w:r>
    </w:p>
    <w:p/>
    <w:p>
      <w:pPr/>
      <w:r>
        <w:rPr>
          <w:sz w:val="22"/>
        </w:rPr>
        <w:t>Este método permitió distinguir claramente qué aspectos funcionan de manera óptima, cuáles son consecuencia lógica del crecimiento del volumen de trabajo, y qué ámbitos pueden evolucionar mediante la incorporación de herramientas tecnológicas que faciliten la labor diaria sin alterar la filosofía de trabajo que caracteriza a la gestora.</w:t>
      </w:r>
    </w:p>
    <w:p/>
    <w:p>
      <w:pPr>
        <w:pStyle w:val="Heading1"/>
      </w:pPr>
      <w:r>
        <w:rPr>
          <w:b/>
          <w:color w:val="92C024"/>
          <w:sz w:val="32"/>
        </w:rPr>
        <w:t>2. ANÁLISIS DETALLADO DE PROCESOS</w:t>
      </w:r>
    </w:p>
    <w:p/>
    <w:p>
      <w:pPr>
        <w:pStyle w:val="Heading2"/>
      </w:pPr>
      <w:r>
        <w:rPr>
          <w:b/>
          <w:color w:val="92C024"/>
          <w:sz w:val="26"/>
        </w:rPr>
        <w:t>2.1. Gestión documental: sólida en estructura, manual en ejecución</w:t>
      </w:r>
    </w:p>
    <w:p/>
    <w:p>
      <w:pPr/>
      <w:r>
        <w:rPr>
          <w:sz w:val="22"/>
        </w:rPr>
        <w:t>La organización documental de Uribe Enea se basa en un sistema estructurado en OneDrive que distingue con claridad entre la documentación privada de la gestora y los archivos que deben estar a disposición de los cooperativistas. Esta distinción constituye un acierto que encaja correctamente con los principios de transparencia y confidencialidad que exige el modelo cooperativo.</w:t>
      </w:r>
    </w:p>
    <w:p/>
    <w:p>
      <w:pPr/>
      <w:r>
        <w:rPr>
          <w:sz w:val="22"/>
        </w:rPr>
        <w:t>El área de mejora no radica en la estructura —que resulta adecuada— sino en su mantenimiento. Actualmente, cada documento que llega por correo electrónico debe descargarse, renombrarse, clasificarse, almacenarse y compartirse manualmente. Este proceso se repite decenas de veces en cada promoción y consume tiempo que podría dedicarse a tareas de mayor valor. Además, parte de la documentación permanece exclusivamente en correos electrónicos, lo que dificulta su localización posterior y la reconstrucción de información histórica.</w:t>
      </w:r>
    </w:p>
    <w:p/>
    <w:p>
      <w:pPr>
        <w:pStyle w:val="Heading2"/>
      </w:pPr>
      <w:r>
        <w:rPr>
          <w:b/>
          <w:color w:val="92C024"/>
          <w:sz w:val="26"/>
        </w:rPr>
        <w:t>2.2. Procesos económicos: correctos en fondo, exigentes en forma</w:t>
      </w:r>
    </w:p>
    <w:p/>
    <w:p>
      <w:pPr/>
      <w:r>
        <w:rPr>
          <w:sz w:val="22"/>
        </w:rPr>
        <w:t>La gestión económica que realiza Uribe Enea es precisa y rigurosa. Cada cooperativa dispone de un Excel independiente que refleja previsiones, pagos, tesorería y aportaciones, mientras que la propia gestora mantiene otro libro para su actividad interna. Este sistema ha funcionado correctamente durante años y se ajusta a las necesidades de cada promoción.</w:t>
      </w:r>
    </w:p>
    <w:p/>
    <w:p>
      <w:pPr/>
      <w:r>
        <w:rPr>
          <w:sz w:val="22"/>
        </w:rPr>
        <w:t>No obstante, el formato Excel presenta limitaciones naturales cuando aumenta el volumen de trabajo. La introducción manual de datos y la revisión constante de fórmulas ocupan entre dos y tres horas diarias, lo que genera una carga operativa muy elevada. La información no está disponible en tiempo real y cualquier análisis requiere reconstruir manualmente los datos. El sistema es eficaz, pero altamente dependiente de quien lo gestiona, lo que dificulta la delegación.</w:t>
      </w:r>
    </w:p>
    <w:p/>
    <w:p>
      <w:pPr>
        <w:pStyle w:val="Heading2"/>
      </w:pPr>
      <w:r>
        <w:rPr>
          <w:b/>
          <w:color w:val="92C024"/>
          <w:sz w:val="26"/>
        </w:rPr>
        <w:t>2.3. Comunicaciones: intensivas, precisas y repetitivas</w:t>
      </w:r>
    </w:p>
    <w:p/>
    <w:p>
      <w:pPr/>
      <w:r>
        <w:rPr>
          <w:sz w:val="22"/>
        </w:rPr>
        <w:t>El correo electrónico, gestionado desde Outlook, constituye el eje central de las comunicaciones. El uso de una cuenta por cooperativa es completamente correcto y aporta claridad tanto a cooperativistas como a proveedores. Sin embargo, el volumen de correos, la necesidad de redactar mensajes muy similares y la ausencia de un repositorio donde se agrupe el histórico de cada persona o proveedor hacen que la gestión resulte más laboriosa de lo necesario. La información existe, pero hay que buscarla, reconstruirla y verificarla.</w:t>
      </w:r>
    </w:p>
    <w:p/>
    <w:p>
      <w:pPr>
        <w:pStyle w:val="Heading2"/>
      </w:pPr>
      <w:r>
        <w:rPr>
          <w:b/>
          <w:color w:val="92C024"/>
          <w:sz w:val="26"/>
        </w:rPr>
        <w:t>2.4. Redacción de actas: un proceso exhaustivo que podría apoyarse en tecnología</w:t>
      </w:r>
    </w:p>
    <w:p/>
    <w:p>
      <w:pPr/>
      <w:r>
        <w:rPr>
          <w:sz w:val="22"/>
        </w:rPr>
        <w:t>Las actas de reuniones y asambleas requieren un trabajo intenso: escuchar grabaciones completas, identificar acuerdos, redactar el documento final y verificar formalidades. Aunque ya se utilizan herramientas de transcripción, no existe todavía un flujo que convierta esas transcripciones en borradores automatizados, lo que obliga a realizar el proceso de manera manual.</w:t>
      </w:r>
    </w:p>
    <w:p/>
    <w:p>
      <w:pPr>
        <w:pStyle w:val="Heading2"/>
      </w:pPr>
      <w:r>
        <w:rPr>
          <w:b/>
          <w:color w:val="92C024"/>
          <w:sz w:val="26"/>
        </w:rPr>
        <w:t>2.5. Conocimiento experto no sistematizado: una fortaleza y un riesgo</w:t>
      </w:r>
    </w:p>
    <w:p/>
    <w:p>
      <w:pPr/>
      <w:r>
        <w:rPr>
          <w:sz w:val="22"/>
        </w:rPr>
        <w:t>El conocimiento que sostiene la operativa de Uribe Enea es profundo y valioso, pero se encuentra disperso entre correos antiguos, notas personales, criterios de asesorías y experiencia acumulada. No existe un repositorio donde este saber esté disponible para otras personas, lo que dificulta la delegación, la incorporación de nuevos perfiles o la continuidad operativa ante una ausencia prolongada.</w:t>
      </w:r>
    </w:p>
    <w:p/>
    <w:p>
      <w:pPr>
        <w:pStyle w:val="Heading2"/>
      </w:pPr>
      <w:r>
        <w:rPr>
          <w:b/>
          <w:color w:val="92C024"/>
          <w:sz w:val="26"/>
        </w:rPr>
        <w:t>2.6. Delegación limitada por carga operativa y falta de estructura documental</w:t>
      </w:r>
    </w:p>
    <w:p/>
    <w:p>
      <w:pPr/>
      <w:r>
        <w:rPr>
          <w:sz w:val="22"/>
        </w:rPr>
        <w:t>La gestora realiza funciones que, en otros escenarios, podrían compartirse entre varios perfiles. Sin embargo, la ausencia de procedimientos formalizados, la dispersión de la información y la carga diaria hacen inviable delegar sin generar más esfuerzo del que se ahorra.</w:t>
      </w:r>
    </w:p>
    <w:p/>
    <w:p>
      <w:pPr>
        <w:pStyle w:val="Heading1"/>
      </w:pPr>
      <w:r>
        <w:rPr>
          <w:b/>
          <w:color w:val="92C024"/>
          <w:sz w:val="32"/>
        </w:rPr>
        <w:t>3. CONCLUSIÓN DEL DIAGNÓSTICO INICIAL</w:t>
      </w:r>
    </w:p>
    <w:p/>
    <w:p>
      <w:pPr/>
      <w:r>
        <w:rPr>
          <w:sz w:val="22"/>
        </w:rPr>
        <w:t>Los procesos de Uribe Enea están bien diseñados y responden a criterios profesionales sólidos. La transparencia, la precisión y la coherencia son patentes en toda la operativa. Sin embargo, el crecimiento del volumen de trabajo y la acumulación de tareas manuales han generado un escenario en el que la tecnología puede desempeñar un papel decisivo para reforzar el modelo existente.</w:t>
      </w:r>
    </w:p>
    <w:p/>
    <w:p>
      <w:pPr/>
      <w:r>
        <w:rPr>
          <w:sz w:val="22"/>
        </w:rPr>
        <w:t>La clave no está en cambiar lo que funciona, sino en apoyarlo con herramientas que reduzcan la carga operativa, aporten mayor trazabilidad y permitan que la gestora siga centrada en tareas estratégicas.</w:t>
      </w:r>
    </w:p>
    <w:p/>
    <w:p>
      <w:pPr>
        <w:pStyle w:val="Heading1"/>
      </w:pPr>
      <w:r>
        <w:rPr>
          <w:b/>
          <w:color w:val="92C024"/>
          <w:sz w:val="32"/>
        </w:rPr>
        <w:t>4. IDENTIFICACIÓN DE BRECHAS Y PROPUESTAS DE MEJORA</w:t>
      </w:r>
    </w:p>
    <w:p/>
    <w:p>
      <w:pPr/>
      <w:r>
        <w:rPr>
          <w:sz w:val="22"/>
        </w:rPr>
        <w:t>A continuación se desarrolla un análisis completo, narrativo y no esquemático de las principales oportunidades de mejora identificadas. Cada una se presenta explicando primero su contexto —para que cualquier persona, incluso ajena al ámbito de la auditoría, pueda comprenderla— y posteriormente se detallan las soluciones propuestas, sus beneficios reales y las herramientas más adecuadas para su implantación. El objetivo es ofrecer un contenido claro, útil y técnicamente sólido que permita fundamentar la toma de decisiones ante la sociedad.</w:t>
      </w:r>
    </w:p>
    <w:p/>
    <w:p>
      <w:pPr>
        <w:pStyle w:val="Heading2"/>
      </w:pPr>
      <w:r>
        <w:rPr>
          <w:b/>
          <w:color w:val="92C024"/>
          <w:sz w:val="26"/>
        </w:rPr>
        <w:t>4.1. Gestión económica: hacia una estructura más ágil, fiable y delegable</w:t>
      </w:r>
    </w:p>
    <w:p/>
    <w:p>
      <w:pPr/>
      <w:r>
        <w:rPr>
          <w:sz w:val="22"/>
        </w:rPr>
        <w:t>La forma en que Uribe Enea gestiona actualmente la información económica de cada cooperativa es rigurosa y metodológicamente coherente. Sin embargo, la dependencia del formato Excel provoca una carga operativa elevada, especialmente en momentos de actualización mensual o conciliación con la asesoría externa. Esta situación no es fruto de una mala práctica, sino del crecimiento natural de la actividad y del volumen de información que debe manejarse.</w:t>
      </w:r>
    </w:p>
    <w:p/>
    <w:p>
      <w:pPr/>
      <w:r>
        <w:rPr>
          <w:sz w:val="22"/>
        </w:rPr>
        <w:t>La solución pasa por evolucionar hacia un sistema ERP que reproduzca la misma lógica de trabajo ya consolidada, pero permitiendo automatizar tareas repetitivas, disponer de datos en tiempo real y reducir la dependencia del criterio experto.</w:t>
      </w:r>
    </w:p>
    <w:p/>
    <w:p>
      <w:pPr>
        <w:pStyle w:val="Heading3"/>
      </w:pPr>
      <w:r>
        <w:rPr>
          <w:b/>
          <w:color w:val="342108"/>
          <w:sz w:val="22"/>
        </w:rPr>
        <w:t>Propuesta</w:t>
      </w:r>
    </w:p>
    <w:p/>
    <w:p>
      <w:pPr/>
      <w:r>
        <w:rPr>
          <w:sz w:val="22"/>
        </w:rPr>
        <w:t>Implementar un ERP en dos etapas. La primera mantiene el funcionamiento actual en un entorno más sólido y permite familiarizarse con la herramienta sin alterar la operativa establecida. La segunda incorpora automatismos como la conciliación bancaria automática, la captura de datos desde facturas digitales o la generación de informes financieros sin intervención manual.</w:t>
      </w:r>
    </w:p>
    <w:p/>
    <w:p>
      <w:pPr>
        <w:pStyle w:val="Heading3"/>
      </w:pPr>
      <w:r>
        <w:rPr>
          <w:b/>
          <w:color w:val="342108"/>
          <w:sz w:val="22"/>
        </w:rPr>
        <w:t>Beneficios</w:t>
      </w:r>
    </w:p>
    <w:p/>
    <w:p>
      <w:pPr/>
      <w:r>
        <w:rPr>
          <w:sz w:val="22"/>
        </w:rPr>
        <w:t>Esta transición ofrece mejoras claras: una única fuente de verdad económica, una notable reducción de errores, visibilidad financiera actualizada en tiempo real, automatización de facturación y recordatorios, y una base sólida para delegar tareas económicas en el futuro.</w:t>
      </w:r>
    </w:p>
    <w:p/>
    <w:p>
      <w:pPr>
        <w:pStyle w:val="Heading3"/>
      </w:pPr>
      <w:r>
        <w:rPr>
          <w:b/>
          <w:color w:val="342108"/>
          <w:sz w:val="22"/>
        </w:rPr>
        <w:t>Herramientas sugeridas</w:t>
      </w:r>
    </w:p>
    <w:p/>
    <w:p>
      <w:pPr/>
      <w:r>
        <w:rPr>
          <w:sz w:val="22"/>
        </w:rPr>
        <w:t>Odoo, en su versión Community o Enterprise, ofrece módulos específicos de contabilidad, facturación y proyectos. Holded, muy extendido entre pymes españolas, destaca por su facilidad de uso y su potente conciliación bancaria. También pueden evaluarse soluciones específicas del sector si existiesen.</w:t>
      </w:r>
    </w:p>
    <w:p/>
    <w:p>
      <w:pPr>
        <w:pStyle w:val="Heading2"/>
      </w:pPr>
      <w:r>
        <w:rPr>
          <w:b/>
          <w:color w:val="92C024"/>
          <w:sz w:val="26"/>
        </w:rPr>
        <w:t>4.2. Gestión documental: automatizar para ganar tiempo, orden y trazabilidad</w:t>
      </w:r>
    </w:p>
    <w:p/>
    <w:p>
      <w:pPr/>
      <w:r>
        <w:rPr>
          <w:sz w:val="22"/>
        </w:rPr>
        <w:t>La estructura documental actual de Uribe Enea es muy sólida y responde a un criterio profesional impecable. El reto se encuentra en el proceso manual que implica mantenerla: descargar cada documento, renombrarlo, clasificarlo y compartirlo consume un volumen considerable de tiempo. Además, parte del archivo histórico permanece en correos electrónicos, lo que dificulta su localización posterior.</w:t>
      </w:r>
    </w:p>
    <w:p/>
    <w:p>
      <w:pPr>
        <w:pStyle w:val="Heading3"/>
      </w:pPr>
      <w:r>
        <w:rPr>
          <w:b/>
          <w:color w:val="342108"/>
          <w:sz w:val="22"/>
        </w:rPr>
        <w:t>Propuesta</w:t>
      </w:r>
    </w:p>
    <w:p/>
    <w:p>
      <w:pPr/>
      <w:r>
        <w:rPr>
          <w:sz w:val="22"/>
        </w:rPr>
        <w:t>Implementar flujos automáticos que conecten la recepción del documento con su archivo definitivo. Mediante reglas predefinidas, los documentos recibidos por correo pueden clasificarse, renombrarse y almacenarse en la carpeta correspondiente sin necesidad de intervención manual.</w:t>
      </w:r>
    </w:p>
    <w:p/>
    <w:p>
      <w:pPr>
        <w:pStyle w:val="Heading3"/>
      </w:pPr>
      <w:r>
        <w:rPr>
          <w:b/>
          <w:color w:val="342108"/>
          <w:sz w:val="22"/>
        </w:rPr>
        <w:t>Beneficios</w:t>
      </w:r>
    </w:p>
    <w:p/>
    <w:p>
      <w:pPr/>
      <w:r>
        <w:rPr>
          <w:sz w:val="22"/>
        </w:rPr>
        <w:t>La automatización reduce considerablemente el tiempo dedicado a tareas repetitivas, evita errores en nomenclaturas y ubicaciones, mejora la trazabilidad del archivo y facilita auditorías o revisiones internas.</w:t>
      </w:r>
    </w:p>
    <w:p/>
    <w:p>
      <w:pPr>
        <w:pStyle w:val="Heading3"/>
      </w:pPr>
      <w:r>
        <w:rPr>
          <w:b/>
          <w:color w:val="342108"/>
          <w:sz w:val="22"/>
        </w:rPr>
        <w:t>Herramientas sugeridas</w:t>
      </w:r>
    </w:p>
    <w:p/>
    <w:p>
      <w:pPr/>
      <w:r>
        <w:rPr>
          <w:sz w:val="22"/>
        </w:rPr>
        <w:t>Microsoft Power Automate ofrece integraciones nativas con Outlook y OneDrive. Zapier es una alternativa válida si se trabaja con herramientas fuera del ecosistema Microsoft. Para búsquedas avanzadas y organización mediante metadatos, SharePoint puede complementar el sistema.</w:t>
      </w:r>
    </w:p>
    <w:p/>
    <w:p>
      <w:pPr>
        <w:pStyle w:val="Heading2"/>
      </w:pPr>
      <w:r>
        <w:rPr>
          <w:b/>
          <w:color w:val="92C024"/>
          <w:sz w:val="26"/>
        </w:rPr>
        <w:t>4.3. Comunicaciones recurrentes: estandarización y automatización sin perder cercanía</w:t>
      </w:r>
    </w:p>
    <w:p/>
    <w:p>
      <w:pPr/>
      <w:r>
        <w:rPr>
          <w:sz w:val="22"/>
        </w:rPr>
        <w:t>Buena parte del trabajo de la gestora consiste en comunicar hitos del proyecto, solicitar documentación o enviar recordatorios de pagos o convocatorias. Estas comunicaciones, aunque diferentes entre sí, comparten estructuras y contenidos que se repiten promoción tras promoción.</w:t>
      </w:r>
    </w:p>
    <w:p/>
    <w:p>
      <w:pPr>
        <w:pStyle w:val="Heading3"/>
      </w:pPr>
      <w:r>
        <w:rPr>
          <w:b/>
          <w:color w:val="342108"/>
          <w:sz w:val="22"/>
        </w:rPr>
        <w:t>Propuesta</w:t>
      </w:r>
    </w:p>
    <w:p/>
    <w:p>
      <w:pPr/>
      <w:r>
        <w:rPr>
          <w:sz w:val="22"/>
        </w:rPr>
        <w:t>Crear un sistema de plantillas inteligentes que permitan completar automáticamente los datos variables (nombres, importes, fechas, hitos) y, cuando sea necesario, programar el envío conforme a plazos legales o hitos internos.</w:t>
      </w:r>
    </w:p>
    <w:p/>
    <w:p>
      <w:pPr>
        <w:pStyle w:val="Heading3"/>
      </w:pPr>
      <w:r>
        <w:rPr>
          <w:b/>
          <w:color w:val="342108"/>
          <w:sz w:val="22"/>
        </w:rPr>
        <w:t>Beneficios</w:t>
      </w:r>
    </w:p>
    <w:p/>
    <w:p>
      <w:pPr/>
      <w:r>
        <w:rPr>
          <w:sz w:val="22"/>
        </w:rPr>
        <w:t>Este enfoque disminuye la carga operativa, asegura que todas las comunicaciones se envíen a tiempo y con un formato homogéneo, y permite que parte de estas tareas puedan ser delegadas en el futuro sin riesgo de errores.</w:t>
      </w:r>
    </w:p>
    <w:p/>
    <w:p>
      <w:pPr>
        <w:pStyle w:val="Heading3"/>
      </w:pPr>
      <w:r>
        <w:rPr>
          <w:b/>
          <w:color w:val="342108"/>
          <w:sz w:val="22"/>
        </w:rPr>
        <w:t>Herramientas sugeridas</w:t>
      </w:r>
    </w:p>
    <w:p/>
    <w:p>
      <w:pPr/>
      <w:r>
        <w:rPr>
          <w:sz w:val="22"/>
        </w:rPr>
        <w:t>Odoo CRM, Outlook + Power Automate y, en casos concretos, WhatsApp Business API para comunicaciones unidireccionales controladas.</w:t>
      </w:r>
    </w:p>
    <w:p/>
    <w:p>
      <w:pPr>
        <w:pStyle w:val="Heading2"/>
      </w:pPr>
      <w:r>
        <w:rPr>
          <w:b/>
          <w:color w:val="92C024"/>
          <w:sz w:val="26"/>
        </w:rPr>
        <w:t>4.4. Histórico de comunicaciones: una visión completa para una mejor gestión</w:t>
      </w:r>
    </w:p>
    <w:p/>
    <w:p>
      <w:pPr/>
      <w:r>
        <w:rPr>
          <w:sz w:val="22"/>
        </w:rPr>
        <w:t>La actual gestión del correo electrónico es eficaz, pero cuando se necesita reconstruir la historia de un cooperativista, un proveedor o una incidencia, resulta necesario revisar hilos y carpetas, lo que implica una inversión de tiempo importante.</w:t>
      </w:r>
    </w:p>
    <w:p/>
    <w:p>
      <w:pPr>
        <w:pStyle w:val="Heading3"/>
      </w:pPr>
      <w:r>
        <w:rPr>
          <w:b/>
          <w:color w:val="342108"/>
          <w:sz w:val="22"/>
        </w:rPr>
        <w:t>Propuesta</w:t>
      </w:r>
    </w:p>
    <w:p/>
    <w:p>
      <w:pPr/>
      <w:r>
        <w:rPr>
          <w:sz w:val="22"/>
        </w:rPr>
        <w:t>Introducir un CRM ligero donde se registre de forma automática toda la interacción con cada persona, permitiendo acceder a una línea temporal completa de comunicaciones, documentos y tareas asociadas.</w:t>
      </w:r>
    </w:p>
    <w:p/>
    <w:p>
      <w:pPr>
        <w:pStyle w:val="Heading3"/>
      </w:pPr>
      <w:r>
        <w:rPr>
          <w:b/>
          <w:color w:val="342108"/>
          <w:sz w:val="22"/>
        </w:rPr>
        <w:t>Beneficios</w:t>
      </w:r>
    </w:p>
    <w:p/>
    <w:p>
      <w:pPr/>
      <w:r>
        <w:rPr>
          <w:sz w:val="22"/>
        </w:rPr>
        <w:t>El acceso inmediato al histórico completa la información, reduce el tiempo de búsqueda, mejora la atención y facilita la entrada de nuevos perfiles al disponer de contexto sin necesidad de reconstruir manualmente los antecedentes.</w:t>
      </w:r>
    </w:p>
    <w:p/>
    <w:p>
      <w:pPr>
        <w:pStyle w:val="Heading3"/>
      </w:pPr>
      <w:r>
        <w:rPr>
          <w:b/>
          <w:color w:val="342108"/>
          <w:sz w:val="22"/>
        </w:rPr>
        <w:t>Herramientas sugeridas</w:t>
      </w:r>
    </w:p>
    <w:p/>
    <w:p>
      <w:pPr/>
      <w:r>
        <w:rPr>
          <w:sz w:val="22"/>
        </w:rPr>
        <w:t>Odoo CRM, HubSpot CRM (ideal por su versión gratuita) o Microsoft Dynamics 365 para quienes deseen unificar la gestión en el ecosistema Microsoft.</w:t>
      </w:r>
    </w:p>
    <w:p/>
    <w:p>
      <w:pPr>
        <w:pStyle w:val="Heading2"/>
      </w:pPr>
      <w:r>
        <w:rPr>
          <w:b/>
          <w:color w:val="92C024"/>
          <w:sz w:val="26"/>
        </w:rPr>
        <w:t>4.5. Conocimiento experto: convertir años de experiencia en un recurso accesible</w:t>
      </w:r>
    </w:p>
    <w:p/>
    <w:p>
      <w:pPr/>
      <w:r>
        <w:rPr>
          <w:sz w:val="22"/>
        </w:rPr>
        <w:t>La experiencia acumulada por la gestora es uno de los mayores activos de Uribe Enea. Sin embargo, buena parte de este conocimiento permanece disperso en correos antiguos, notas personales y criterios de asesorías. Este modelo funciona cuando todo está bajo el control de una misma persona, pero dificulta la delegación y supone un riesgo operativo.</w:t>
      </w:r>
    </w:p>
    <w:p/>
    <w:p>
      <w:pPr>
        <w:pStyle w:val="Heading3"/>
      </w:pPr>
      <w:r>
        <w:rPr>
          <w:b/>
          <w:color w:val="342108"/>
          <w:sz w:val="22"/>
        </w:rPr>
        <w:t>Propuesta</w:t>
      </w:r>
    </w:p>
    <w:p/>
    <w:p>
      <w:pPr/>
      <w:r>
        <w:rPr>
          <w:sz w:val="22"/>
        </w:rPr>
        <w:t>Crear un chatbot interno alimentado exclusivamente con documentación y criterios propios de Uribe Enea. Este chatbot se consulta en lenguaje natural y permite acceder de inmediato a normativa relevante, procedimientos internos, criterios adoptados en el pasado y resoluciones ya aplicadas.</w:t>
      </w:r>
    </w:p>
    <w:p/>
    <w:p>
      <w:pPr>
        <w:pStyle w:val="Heading3"/>
      </w:pPr>
      <w:r>
        <w:rPr>
          <w:b/>
          <w:color w:val="342108"/>
          <w:sz w:val="22"/>
        </w:rPr>
        <w:t>Beneficios</w:t>
      </w:r>
    </w:p>
    <w:p/>
    <w:p>
      <w:pPr/>
      <w:r>
        <w:rPr>
          <w:sz w:val="22"/>
        </w:rPr>
        <w:t>Se convierte el conocimiento en un recurso consultable y accesible, se facilita la formación de personal de apoyo, se reduce el riesgo ante ausencias y se evitan dudas repetidas que actualmente consumen tiempo de gestión.</w:t>
      </w:r>
    </w:p>
    <w:p/>
    <w:p>
      <w:pPr>
        <w:pStyle w:val="Heading3"/>
      </w:pPr>
      <w:r>
        <w:rPr>
          <w:b/>
          <w:color w:val="342108"/>
          <w:sz w:val="22"/>
        </w:rPr>
        <w:t>Herramientas sugeridas</w:t>
      </w:r>
    </w:p>
    <w:p/>
    <w:p>
      <w:pPr/>
      <w:r>
        <w:rPr>
          <w:sz w:val="22"/>
        </w:rPr>
        <w:t>GPT-4 + API, Microsoft Copilot Studio, Botpress o Rasa, en función de la infraestructura tecnológica preferida.</w:t>
      </w:r>
    </w:p>
    <w:p/>
    <w:p>
      <w:pPr>
        <w:pStyle w:val="Heading2"/>
      </w:pPr>
      <w:r>
        <w:rPr>
          <w:b/>
          <w:color w:val="92C024"/>
          <w:sz w:val="26"/>
        </w:rPr>
        <w:t>4.6. Redacción de actas: una tarea esencial que puede agilizarse</w:t>
      </w:r>
    </w:p>
    <w:p/>
    <w:p>
      <w:pPr/>
      <w:r>
        <w:rPr>
          <w:sz w:val="22"/>
        </w:rPr>
        <w:t>La elaboración de actas requiere una dedicación muy elevada: escuchar grabaciones completas, identificar acuerdos, estructurar contenidos y preparar el documento final. Aunque ya se utilizan herramientas de transcripción, aún no existe un flujo automatizado.</w:t>
      </w:r>
    </w:p>
    <w:p/>
    <w:p>
      <w:pPr>
        <w:pStyle w:val="Heading3"/>
      </w:pPr>
      <w:r>
        <w:rPr>
          <w:b/>
          <w:color w:val="342108"/>
          <w:sz w:val="22"/>
        </w:rPr>
        <w:t>Propuesta</w:t>
      </w:r>
    </w:p>
    <w:p/>
    <w:p>
      <w:pPr/>
      <w:r>
        <w:rPr>
          <w:sz w:val="22"/>
        </w:rPr>
        <w:t>Integrar un sistema en el que la transcripción generada por herramientas como Fireflies se procese automáticamente para crear un borrador de acta conforme a la estructura formal definida por la gestora.</w:t>
      </w:r>
    </w:p>
    <w:p/>
    <w:p>
      <w:pPr>
        <w:pStyle w:val="Heading3"/>
      </w:pPr>
      <w:r>
        <w:rPr>
          <w:b/>
          <w:color w:val="342108"/>
          <w:sz w:val="22"/>
        </w:rPr>
        <w:t>Beneficios</w:t>
      </w:r>
    </w:p>
    <w:p/>
    <w:p>
      <w:pPr/>
      <w:r>
        <w:rPr>
          <w:sz w:val="22"/>
        </w:rPr>
        <w:t>El tiempo de elaboración se reduce drásticamente, la estructura de las actas se homogeneiza y la labor de la gestora se centra en la validación final, liberando tiempo para otras tareas.</w:t>
      </w:r>
    </w:p>
    <w:p/>
    <w:p>
      <w:pPr>
        <w:pStyle w:val="Heading3"/>
      </w:pPr>
      <w:r>
        <w:rPr>
          <w:b/>
          <w:color w:val="342108"/>
          <w:sz w:val="22"/>
        </w:rPr>
        <w:t>Herramientas sugeridas</w:t>
      </w:r>
    </w:p>
    <w:p/>
    <w:p>
      <w:pPr/>
      <w:r>
        <w:rPr>
          <w:sz w:val="22"/>
        </w:rPr>
        <w:t>Fireflies, ChatGPT/Claude y Microsoft Copilot.</w:t>
      </w:r>
    </w:p>
    <w:p/>
    <w:p>
      <w:pPr>
        <w:pStyle w:val="Heading2"/>
      </w:pPr>
      <w:r>
        <w:rPr>
          <w:b/>
          <w:color w:val="92C024"/>
          <w:sz w:val="26"/>
        </w:rPr>
        <w:t>4.7. Chatbot web para cooperativistas: información accesible sin carga adicional</w:t>
      </w:r>
    </w:p>
    <w:p/>
    <w:p>
      <w:pPr/>
      <w:r>
        <w:rPr>
          <w:sz w:val="22"/>
        </w:rPr>
        <w:t>La gestora recibe numerosas consultas recurrentes, especialmente de personas que se incorporan por primera vez a una cooperativa y desconocen el proceso.</w:t>
      </w:r>
    </w:p>
    <w:p/>
    <w:p>
      <w:pPr>
        <w:pStyle w:val="Heading3"/>
      </w:pPr>
      <w:r>
        <w:rPr>
          <w:b/>
          <w:color w:val="342108"/>
          <w:sz w:val="22"/>
        </w:rPr>
        <w:t>Propuesta</w:t>
      </w:r>
    </w:p>
    <w:p/>
    <w:p>
      <w:pPr/>
      <w:r>
        <w:rPr>
          <w:sz w:val="22"/>
        </w:rPr>
        <w:t>Crear un chatbot en la página web de Uribe Enea que responda las preguntas más comunes y proporcione información clara sobre fases, aportaciones, derechos y documentación necesaria.</w:t>
      </w:r>
    </w:p>
    <w:p/>
    <w:p>
      <w:pPr>
        <w:pStyle w:val="Heading3"/>
      </w:pPr>
      <w:r>
        <w:rPr>
          <w:b/>
          <w:color w:val="342108"/>
          <w:sz w:val="22"/>
        </w:rPr>
        <w:t>Beneficios</w:t>
      </w:r>
    </w:p>
    <w:p/>
    <w:p>
      <w:pPr/>
      <w:r>
        <w:rPr>
          <w:sz w:val="22"/>
        </w:rPr>
        <w:t>Reduce el volumen de consultas repetitivas, proporciona atención inmediata y mejora la percepción de profesionalidad y modernización del servicio.</w:t>
      </w:r>
    </w:p>
    <w:p/>
    <w:p>
      <w:pPr>
        <w:pStyle w:val="Heading3"/>
      </w:pPr>
      <w:r>
        <w:rPr>
          <w:b/>
          <w:color w:val="342108"/>
          <w:sz w:val="22"/>
        </w:rPr>
        <w:t>Herramientas sugeridas</w:t>
      </w:r>
    </w:p>
    <w:p/>
    <w:p>
      <w:pPr/>
      <w:r>
        <w:rPr>
          <w:sz w:val="22"/>
        </w:rPr>
        <w:t>Chatbase, CustomGPT, Landbot, Tidio o Voiceflow.</w:t>
      </w:r>
    </w:p>
    <w:p/>
    <w:p>
      <w:pPr>
        <w:pStyle w:val="Heading2"/>
      </w:pPr>
      <w:r>
        <w:rPr>
          <w:b/>
          <w:color w:val="92C024"/>
          <w:sz w:val="26"/>
        </w:rPr>
        <w:t>4.8. Delegación y escalabilidad: solucionar la raíz del problema</w:t>
      </w:r>
    </w:p>
    <w:p/>
    <w:p>
      <w:pPr/>
      <w:r>
        <w:rPr>
          <w:sz w:val="22"/>
        </w:rPr>
        <w:t>La capacidad de delegar tareas es limitada no por falta de perfiles, sino porque la estructura actual obliga a que la gestora centralice gran parte de la operativa.</w:t>
      </w:r>
    </w:p>
    <w:p/>
    <w:p>
      <w:pPr>
        <w:pStyle w:val="Heading3"/>
      </w:pPr>
      <w:r>
        <w:rPr>
          <w:b/>
          <w:color w:val="342108"/>
          <w:sz w:val="22"/>
        </w:rPr>
        <w:t>Propuesta</w:t>
      </w:r>
    </w:p>
    <w:p/>
    <w:p>
      <w:pPr/>
      <w:r>
        <w:rPr>
          <w:sz w:val="22"/>
        </w:rPr>
        <w:t>Resolver esta situación de forma transversal mediante la suma de todas las mejoras anteriores: automatización, estandarización, sistematización del conocimiento y herramientas que distribuyan la carga.</w:t>
      </w:r>
    </w:p>
    <w:p/>
    <w:p>
      <w:pPr>
        <w:pStyle w:val="Heading3"/>
      </w:pPr>
      <w:r>
        <w:rPr>
          <w:b/>
          <w:color w:val="342108"/>
          <w:sz w:val="22"/>
        </w:rPr>
        <w:t>Beneficios</w:t>
      </w:r>
    </w:p>
    <w:p/>
    <w:p>
      <w:pPr/>
      <w:r>
        <w:rPr>
          <w:sz w:val="22"/>
        </w:rPr>
        <w:t>Esta combinación permite que Uribe Enea pueda crecer, incorporar apoyo cuando sea necesario y garantizar continuidad sin depender exclusivamente de una única persona.</w:t>
      </w:r>
    </w:p>
    <w:p/>
    <w:p>
      <w:pPr>
        <w:pStyle w:val="Heading1"/>
      </w:pPr>
      <w:r>
        <w:rPr>
          <w:b/>
          <w:color w:val="92C024"/>
          <w:sz w:val="32"/>
        </w:rPr>
        <w:t>CIERRE FINAL</w:t>
      </w:r>
    </w:p>
    <w:p/>
    <w:p>
      <w:pPr/>
      <w:r>
        <w:rPr>
          <w:sz w:val="22"/>
        </w:rPr>
        <w:t>Las propuestas aquí presentadas no buscan modificar el ADN operativo de Uribe Enea, sino proporcionarle herramientas que fortalezcan su modelo de trabajo, reduzcan su carga diaria y faciliten su crecimiento futuro. Gracias a estas mejoras, la gestora podrá mantener su nivel de calidad y dedicación, al mismo tiempo que incorpora procesos más seguros, eficientes y delegables.</w:t>
      </w:r>
    </w:p>
    <w:p>
      <w:r>
        <w:br w:type="page"/>
      </w:r>
    </w:p>
    <w:p>
      <w:pPr>
        <w:jc w:val="center"/>
      </w:pPr>
      <w:r>
        <w:rPr>
          <w:b/>
          <w:color w:val="92C024"/>
          <w:sz w:val="32"/>
        </w:rPr>
        <w:t>ANEXO: DIAGRAMA DE FLUJO DE IMPLANTACIÓN</w:t>
      </w:r>
    </w:p>
    <w:p/>
    <w:p>
      <w:pPr>
        <w:jc w:val="center"/>
      </w:pPr>
      <w:r>
        <w:drawing>
          <wp:inline xmlns:a="http://schemas.openxmlformats.org/drawingml/2006/main" xmlns:pic="http://schemas.openxmlformats.org/drawingml/2006/picture">
            <wp:extent cx="5943600" cy="8403929"/>
            <wp:docPr id="1" name="Picture 1"/>
            <wp:cNvGraphicFramePr>
              <a:graphicFrameLocks noChangeAspect="1"/>
            </wp:cNvGraphicFramePr>
            <a:graphic>
              <a:graphicData uri="http://schemas.openxmlformats.org/drawingml/2006/picture">
                <pic:pic>
                  <pic:nvPicPr>
                    <pic:cNvPr id="0" name="diagrama_uribe_pagina1.jpg"/>
                    <pic:cNvPicPr/>
                  </pic:nvPicPr>
                  <pic:blipFill>
                    <a:blip r:embed="rId9"/>
                    <a:stretch>
                      <a:fillRect/>
                    </a:stretch>
                  </pic:blipFill>
                  <pic:spPr>
                    <a:xfrm>
                      <a:off x="0" y="0"/>
                      <a:ext cx="5943600" cy="8403929"/>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943600" cy="8403929"/>
            <wp:docPr id="2" name="Picture 2"/>
            <wp:cNvGraphicFramePr>
              <a:graphicFrameLocks noChangeAspect="1"/>
            </wp:cNvGraphicFramePr>
            <a:graphic>
              <a:graphicData uri="http://schemas.openxmlformats.org/drawingml/2006/picture">
                <pic:pic>
                  <pic:nvPicPr>
                    <pic:cNvPr id="0" name="diagrama_uribe_pagina2.jpg"/>
                    <pic:cNvPicPr/>
                  </pic:nvPicPr>
                  <pic:blipFill>
                    <a:blip r:embed="rId10"/>
                    <a:stretch>
                      <a:fillRect/>
                    </a:stretch>
                  </pic:blipFill>
                  <pic:spPr>
                    <a:xfrm>
                      <a:off x="0" y="0"/>
                      <a:ext cx="5943600" cy="8403929"/>
                    </a:xfrm>
                    <a:prstGeom prst="rect"/>
                  </pic:spPr>
                </pic:pic>
              </a:graphicData>
            </a:graphic>
          </wp:inline>
        </w:drawing>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