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long-term-vision"/>
      <w:r>
        <w:t xml:space="preserve">écentic — Long-Term Vision</w:t>
      </w:r>
      <w:bookmarkEnd w:id="20"/>
    </w:p>
    <w:p>
      <w:pPr>
        <w:pStyle w:val="FirstParagraph"/>
      </w:pPr>
      <w:r>
        <w:rPr>
          <w:b/>
        </w:rPr>
        <w:t xml:space="preserve">Last updated:</w:t>
      </w:r>
      <w:r>
        <w:t xml:space="preserve"> </w:t>
      </w:r>
      <w:r>
        <w:t xml:space="preserve">2026-06-02</w:t>
      </w:r>
    </w:p>
    <w:p>
      <w:pPr>
        <w:pStyle w:val="Heading2"/>
      </w:pPr>
      <w:bookmarkStart w:id="21" w:name="what-we-are-building"/>
      <w:r>
        <w:t xml:space="preserve">What we are building</w:t>
      </w:r>
      <w:bookmarkEnd w:id="21"/>
    </w:p>
    <w:p>
      <w:pPr>
        <w:pStyle w:val="FirstParagraph"/>
      </w:pPr>
      <w:r>
        <w:t xml:space="preserve">The optimization layer for the agent commerce economy.</w:t>
      </w:r>
    </w:p>
    <w:p>
      <w:pPr>
        <w:pStyle w:val="BodyText"/>
      </w:pPr>
      <w:r>
        <w:t xml:space="preserve">Every product page on the internet is becoming legible to AI agents — through Google’s Universal Commerce Protocol, OpenAI’s Agentic Commerce Protocol, Visa’s Trusted Agent Protocol, and Mastercard Agent Pay. The rails for AI-mediated commerce shipped between April 2025 and February 2026. What’s missing is the layer that decides which merchant wins the cart when an agent has a choice. That layer is écentic.</w:t>
      </w:r>
    </w:p>
    <w:p>
      <w:pPr>
        <w:pStyle w:val="BodyText"/>
      </w:pPr>
      <w:r>
        <w:t xml:space="preserve">Today we serve small and mid-sized merchants on Shopify. Tomorrow we serve every commerce stack. Eventually we are the default way a merchant prepares for an AI-buyer-first world — the same way merchants today take it for granted that they need Google Analytics, an email marketing tool, and a CDN.</w:t>
      </w:r>
    </w:p>
    <w:p>
      <w:r>
        <w:pict>
          <v:rect style="width:0;height:1.5pt" o:hralign="center" o:hrstd="t" o:hr="t"/>
        </w:pict>
      </w:r>
    </w:p>
    <w:p>
      <w:pPr>
        <w:pStyle w:val="Heading2"/>
      </w:pPr>
      <w:bookmarkStart w:id="22" w:name="the-bet"/>
      <w:r>
        <w:t xml:space="preserve">The bet</w:t>
      </w:r>
      <w:bookmarkEnd w:id="22"/>
    </w:p>
    <w:p>
      <w:pPr>
        <w:pStyle w:val="FirstParagraph"/>
      </w:pPr>
      <w:r>
        <w:t xml:space="preserve">Three things have to be true for écentic’s long-term thesis to hold:</w:t>
      </w:r>
    </w:p>
    <w:p>
      <w:pPr>
        <w:pStyle w:val="BodyText"/>
      </w:pPr>
      <w:r>
        <w:rPr>
          <w:b/>
        </w:rPr>
        <w:t xml:space="preserve">1. AI agents will mediate a meaningful share of consumer purchase decisions by 2028–2030.</w:t>
      </w:r>
      <w:r>
        <w:t xml:space="preserve"> </w:t>
      </w:r>
      <w:r>
        <w:t xml:space="preserve">Gartner forecasts 25% of retail search becomes agent-mediated by 2028. The 2025–2026 protocol-launch wave (Visa TAP, Google UCP, OpenAI ACP, Mastercard Agent Pay) lays the rails. Cyber Week 2025 already saw 20% of purchases agent-influenced. The trajectory does not require speculative consumer behavior shifts — only continued adoption of tools that already exist.</w:t>
      </w:r>
    </w:p>
    <w:p>
      <w:pPr>
        <w:pStyle w:val="BodyText"/>
      </w:pPr>
      <w:r>
        <w:rPr>
          <w:b/>
        </w:rPr>
        <w:t xml:space="preserve">2. Merchants will pay for optimization, not just visibility.</w:t>
      </w:r>
      <w:r>
        <w:t xml:space="preserve"> </w:t>
      </w:r>
      <w:r>
        <w:t xml:space="preserve">The SEO industry alone is a $80B+ global market. Merchants pay for tools that promise to make them more findable, more conversion-optimized, and more measurable — even when the underlying platform (Google search) doesn’t charge them directly. The same will be true for the agent layer: merchants will pay third parties to ensure they win agent-mediated transactions.</w:t>
      </w:r>
    </w:p>
    <w:p>
      <w:pPr>
        <w:pStyle w:val="BodyText"/>
      </w:pPr>
      <w:r>
        <w:rPr>
          <w:b/>
        </w:rPr>
        <w:t xml:space="preserve">3. The optimization layer is independent of any single agent provider.</w:t>
      </w:r>
      <w:r>
        <w:t xml:space="preserve"> </w:t>
      </w:r>
      <w:r>
        <w:t xml:space="preserve">Just as Google Analytics was not built by Google, the agent commerce optimization layer will be built by independents who serve merchants, not agents. This is structurally different from GEO (Generative Engine Optimization), which optimizes for being mentioned in chatbot answers — we optimize for being chosen as the cart.</w:t>
      </w:r>
    </w:p>
    <w:p>
      <w:r>
        <w:pict>
          <v:rect style="width:0;height:1.5pt" o:hralign="center" o:hrstd="t" o:hr="t"/>
        </w:pict>
      </w:r>
    </w:p>
    <w:p>
      <w:pPr>
        <w:pStyle w:val="Heading2"/>
      </w:pPr>
      <w:bookmarkStart w:id="23" w:name="three-year-horizon-2026-2029"/>
      <w:r>
        <w:t xml:space="preserve">Three-year horizon (2026 → 2029)</w:t>
      </w:r>
      <w:bookmarkEnd w:id="23"/>
    </w:p>
    <w:p>
      <w:pPr>
        <w:pStyle w:val="FirstParagraph"/>
      </w:pPr>
      <w:r>
        <w:rPr>
          <w:b/>
        </w:rPr>
        <w:t xml:space="preserve">Year 1 (2026–2027):</w:t>
      </w:r>
      <w:r>
        <w:t xml:space="preserve"> </w:t>
      </w:r>
      <w:r>
        <w:t xml:space="preserve">- 100+ paying Shopify merchants, 2 enterprise pilots delivered</w:t>
      </w:r>
      <w:r>
        <w:t xml:space="preserve"> </w:t>
      </w:r>
      <w:r>
        <w:t xml:space="preserve">- Live integrations on Shopify, WooCommerce, structured-data feeds</w:t>
      </w:r>
      <w:r>
        <w:t xml:space="preserve"> </w:t>
      </w:r>
      <w:r>
        <w:t xml:space="preserve">- €450K ARR exit-rate</w:t>
      </w:r>
      <w:r>
        <w:t xml:space="preserve"> </w:t>
      </w:r>
      <w:r>
        <w:t xml:space="preserve">- SOC 2 Type I complete, Type II in observation</w:t>
      </w:r>
      <w:r>
        <w:t xml:space="preserve"> </w:t>
      </w:r>
      <w:r>
        <w:t xml:space="preserve">- Recognized presence in the Plug and Play network, Red Bull Basement alumni, FRC accelerator track</w:t>
      </w:r>
    </w:p>
    <w:p>
      <w:pPr>
        <w:pStyle w:val="BodyText"/>
      </w:pPr>
      <w:r>
        <w:rPr>
          <w:b/>
        </w:rPr>
        <w:t xml:space="preserve">Year 2 (2027–2028):</w:t>
      </w:r>
      <w:r>
        <w:t xml:space="preserve"> </w:t>
      </w:r>
      <w:r>
        <w:t xml:space="preserve">- 500+ merchants, including 5+ enterprise contracts</w:t>
      </w:r>
      <w:r>
        <w:t xml:space="preserve"> </w:t>
      </w:r>
      <w:r>
        <w:t xml:space="preserve">- BigCommerce and Amazon SP-API integrations live</w:t>
      </w:r>
      <w:r>
        <w:t xml:space="preserve"> </w:t>
      </w:r>
      <w:r>
        <w:t xml:space="preserve">- €2.5M+ ARR</w:t>
      </w:r>
      <w:r>
        <w:t xml:space="preserve"> </w:t>
      </w:r>
      <w:r>
        <w:t xml:space="preserve">- Series A raised (~€5M, US lead, Sequoia / a16z apps / Index profile)</w:t>
      </w:r>
      <w:r>
        <w:t xml:space="preserve"> </w:t>
      </w:r>
      <w:r>
        <w:t xml:space="preserve">- US office opens in San Francisco, EU sales team based in London or Berlin</w:t>
      </w:r>
      <w:r>
        <w:t xml:space="preserve"> </w:t>
      </w:r>
      <w:r>
        <w:t xml:space="preserve">- First international hires beyond Tirana</w:t>
      </w:r>
    </w:p>
    <w:p>
      <w:pPr>
        <w:pStyle w:val="BodyText"/>
      </w:pPr>
      <w:r>
        <w:rPr>
          <w:b/>
        </w:rPr>
        <w:t xml:space="preserve">Year 3 (2028–2029):</w:t>
      </w:r>
      <w:r>
        <w:t xml:space="preserve"> </w:t>
      </w:r>
      <w:r>
        <w:t xml:space="preserve">- 2,000+ merchants, 20+ enterprise contracts</w:t>
      </w:r>
      <w:r>
        <w:t xml:space="preserve"> </w:t>
      </w:r>
      <w:r>
        <w:t xml:space="preserve">- The aggregate dataset of agent-buying behavior — across thousands of catalogs and every major model — becomes a defensible commercial asset (the</w:t>
      </w:r>
      <w:r>
        <w:t xml:space="preserve"> </w:t>
      </w:r>
      <w:r>
        <w:t xml:space="preserve">“</w:t>
      </w:r>
      <w:r>
        <w:t xml:space="preserve">écentic Index</w:t>
      </w:r>
      <w:r>
        <w:t xml:space="preserve">”</w:t>
      </w:r>
      <w:r>
        <w:t xml:space="preserve">)</w:t>
      </w:r>
      <w:r>
        <w:t xml:space="preserve"> </w:t>
      </w:r>
      <w:r>
        <w:t xml:space="preserve">- Published quarterly</w:t>
      </w:r>
      <w:r>
        <w:t xml:space="preserve"> </w:t>
      </w:r>
      <w:r>
        <w:t xml:space="preserve">“</w:t>
      </w:r>
      <w:r>
        <w:t xml:space="preserve">State of Agent Commerce</w:t>
      </w:r>
      <w:r>
        <w:t xml:space="preserve">”</w:t>
      </w:r>
      <w:r>
        <w:t xml:space="preserve"> </w:t>
      </w:r>
      <w:r>
        <w:t xml:space="preserve">report becomes a category reference</w:t>
      </w:r>
      <w:r>
        <w:t xml:space="preserve"> </w:t>
      </w:r>
      <w:r>
        <w:t xml:space="preserve">- €10M+ ARR</w:t>
      </w:r>
      <w:r>
        <w:t xml:space="preserve"> </w:t>
      </w:r>
      <w:r>
        <w:t xml:space="preserve">- Profitable at the gross-margin line</w:t>
      </w:r>
      <w:r>
        <w:t xml:space="preserve"> </w:t>
      </w:r>
      <w:r>
        <w:t xml:space="preserve">- Eligible for Series B at $100M+ post-money</w:t>
      </w:r>
    </w:p>
    <w:p>
      <w:r>
        <w:pict>
          <v:rect style="width:0;height:1.5pt" o:hralign="center" o:hrstd="t" o:hr="t"/>
        </w:pict>
      </w:r>
    </w:p>
    <w:p>
      <w:pPr>
        <w:pStyle w:val="Heading2"/>
      </w:pPr>
      <w:bookmarkStart w:id="24" w:name="five-year-horizon-2026-2031"/>
      <w:r>
        <w:t xml:space="preserve">Five-year horizon (2026 → 2031)</w:t>
      </w:r>
      <w:bookmarkEnd w:id="24"/>
    </w:p>
    <w:p>
      <w:pPr>
        <w:pStyle w:val="FirstParagraph"/>
      </w:pPr>
      <w:r>
        <w:t xml:space="preserve">The product expands from one-step optimization to a full agent-commerce operating system:</w:t>
      </w:r>
    </w:p>
    <w:p>
      <w:pPr>
        <w:numPr>
          <w:ilvl w:val="0"/>
          <w:numId w:val="1001"/>
        </w:numPr>
        <w:pStyle w:val="Compact"/>
      </w:pPr>
      <w:r>
        <w:rPr>
          <w:b/>
        </w:rPr>
        <w:t xml:space="preserve">Beyond optimization to commerce-on-behalf-of:</w:t>
      </w:r>
      <w:r>
        <w:t xml:space="preserve"> </w:t>
      </w:r>
      <w:r>
        <w:t xml:space="preserve">merchants delegate to écentic not only the optimization of their listings but the live negotiation with agents (price, bundle, terms) on a per-shopper basis.</w:t>
      </w:r>
    </w:p>
    <w:p>
      <w:pPr>
        <w:numPr>
          <w:ilvl w:val="0"/>
          <w:numId w:val="1001"/>
        </w:numPr>
        <w:pStyle w:val="Compact"/>
      </w:pPr>
      <w:r>
        <w:rPr>
          <w:b/>
        </w:rPr>
        <w:t xml:space="preserve">Beyond merchants to brands and manufacturers:</w:t>
      </w:r>
      <w:r>
        <w:t xml:space="preserve"> </w:t>
      </w:r>
      <w:r>
        <w:t xml:space="preserve">the same dataset and engine that helps a Shopify store win against competitors helps a brand decide how to price, position, and bundle SKUs across its entire distribution.</w:t>
      </w:r>
    </w:p>
    <w:p>
      <w:pPr>
        <w:numPr>
          <w:ilvl w:val="0"/>
          <w:numId w:val="1001"/>
        </w:numPr>
        <w:pStyle w:val="Compact"/>
      </w:pPr>
      <w:r>
        <w:rPr>
          <w:b/>
        </w:rPr>
        <w:t xml:space="preserve">Beyond Shopify ecosystem to the full commerce surface:</w:t>
      </w:r>
      <w:r>
        <w:t xml:space="preserve"> </w:t>
      </w:r>
      <w:r>
        <w:t xml:space="preserve">Amazon, Walmart, eBay, manufacturer DTC, marketplaces, classifieds. Anywhere an agent makes a buying decision, écentic is the data and decision layer underneath the merchant.</w:t>
      </w:r>
    </w:p>
    <w:p>
      <w:pPr>
        <w:pStyle w:val="FirstParagraph"/>
      </w:pPr>
      <w:r>
        <w:t xml:space="preserve">By 2031 the target state is: ~5,000 mid-market merchants on subscription, ~100 enterprise contracts, ~€50M ARR, and the dataset is licensed to payment networks, ad platforms, and platform companies as the canonical view of agent-shopping behavior.</w:t>
      </w:r>
    </w:p>
    <w:p>
      <w:r>
        <w:pict>
          <v:rect style="width:0;height:1.5pt" o:hralign="center" o:hrstd="t" o:hr="t"/>
        </w:pict>
      </w:r>
    </w:p>
    <w:p>
      <w:pPr>
        <w:pStyle w:val="Heading2"/>
      </w:pPr>
      <w:bookmarkStart w:id="25" w:name="ten-year-horizon-2026-2036"/>
      <w:r>
        <w:t xml:space="preserve">Ten-year horizon (2026 → 2036)</w:t>
      </w:r>
      <w:bookmarkEnd w:id="25"/>
    </w:p>
    <w:p>
      <w:pPr>
        <w:pStyle w:val="FirstParagraph"/>
      </w:pPr>
      <w:r>
        <w:t xml:space="preserve">At the ten-year mark, the consumer-internet of 2036 looks like this: most discovery, comparison, and purchase decisions are mediated by personal AI agents that already know the consumer’s preferences and trusted merchants. The</w:t>
      </w:r>
      <w:r>
        <w:t xml:space="preserve"> </w:t>
      </w:r>
      <w:r>
        <w:t xml:space="preserve">“</w:t>
      </w:r>
      <w:r>
        <w:t xml:space="preserve">browser tab</w:t>
      </w:r>
      <w:r>
        <w:t xml:space="preserve">”</w:t>
      </w:r>
      <w:r>
        <w:t xml:space="preserve"> </w:t>
      </w:r>
      <w:r>
        <w:t xml:space="preserve">is a residual interface used mostly for confirmation, not discovery.</w:t>
      </w:r>
    </w:p>
    <w:p>
      <w:pPr>
        <w:pStyle w:val="BodyText"/>
      </w:pPr>
      <w:r>
        <w:t xml:space="preserve">In that world, two layers of infrastructure determine which merchants survive: the</w:t>
      </w:r>
      <w:r>
        <w:t xml:space="preserve"> </w:t>
      </w:r>
      <w:r>
        <w:rPr>
          <w:b/>
        </w:rPr>
        <w:t xml:space="preserve">transaction rails</w:t>
      </w:r>
      <w:r>
        <w:t xml:space="preserve"> </w:t>
      </w:r>
      <w:r>
        <w:t xml:space="preserve">(Visa, Mastercard, OpenAI checkout, Google, Stripe) and the</w:t>
      </w:r>
      <w:r>
        <w:t xml:space="preserve"> </w:t>
      </w:r>
      <w:r>
        <w:rPr>
          <w:b/>
        </w:rPr>
        <w:t xml:space="preserve">optimization layer</w:t>
      </w:r>
      <w:r>
        <w:t xml:space="preserve"> </w:t>
      </w:r>
      <w:r>
        <w:t xml:space="preserve">that decides which merchants the agents recommend and transact with. The optimization layer is a venture-scale market — the closest historical parallel is the SEO/SEM industry that grew up around Google between 2000 and 2010.</w:t>
      </w:r>
    </w:p>
    <w:p>
      <w:pPr>
        <w:pStyle w:val="BodyText"/>
      </w:pPr>
      <w:r>
        <w:t xml:space="preserve">écentic’s ambition is to be the dominant independent player in that optimization layer in the same way Datadog is the dominant independent player in cloud observability, or Stripe is the dominant payments interface for online businesses. This requires winning the developer / merchant mindshare first, building the dataset that nobody else has, and being the partner that the platform companies (Shopify, Stripe, Visa, Mastercard, Google) work with rather than compete with.</w:t>
      </w:r>
    </w:p>
    <w:p>
      <w:r>
        <w:pict>
          <v:rect style="width:0;height:1.5pt" o:hralign="center" o:hrstd="t" o:hr="t"/>
        </w:pict>
      </w:r>
    </w:p>
    <w:p>
      <w:pPr>
        <w:pStyle w:val="Heading2"/>
      </w:pPr>
      <w:bookmarkStart w:id="26" w:name="what-success-looks-like-at-each-horizon"/>
      <w:r>
        <w:t xml:space="preserve">What success looks like at each horizon</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Customers</w:t>
            </w:r>
          </w:p>
        </w:tc>
        <w:tc>
          <w:tcPr>
            <w:tcBorders>
              <w:bottom w:val="single"/>
            </w:tcBorders>
            <w:vAlign w:val="bottom"/>
          </w:tcPr>
          <w:p>
            <w:pPr>
              <w:pStyle w:val="Compact"/>
              <w:jc w:val="left"/>
            </w:pPr>
            <w:r>
              <w:t xml:space="preserve">Geographic footprint</w:t>
            </w:r>
          </w:p>
        </w:tc>
        <w:tc>
          <w:tcPr>
            <w:tcBorders>
              <w:bottom w:val="single"/>
            </w:tcBorders>
            <w:vAlign w:val="bottom"/>
          </w:tcPr>
          <w:p>
            <w:pPr>
              <w:pStyle w:val="Compact"/>
              <w:jc w:val="left"/>
            </w:pPr>
            <w:r>
              <w:t xml:space="preserve">Defining narrative</w:t>
            </w:r>
          </w:p>
        </w:tc>
      </w:tr>
      <w:tr>
        <w:tc>
          <w:p>
            <w:pPr>
              <w:pStyle w:val="Compact"/>
              <w:jc w:val="left"/>
            </w:pPr>
            <w:r>
              <w:t xml:space="preserve">1 year</w:t>
            </w:r>
          </w:p>
        </w:tc>
        <w:tc>
          <w:p>
            <w:pPr>
              <w:pStyle w:val="Compact"/>
              <w:jc w:val="left"/>
            </w:pPr>
            <w:r>
              <w:t xml:space="preserve">€450K ARR</w:t>
            </w:r>
          </w:p>
        </w:tc>
        <w:tc>
          <w:p>
            <w:pPr>
              <w:pStyle w:val="Compact"/>
              <w:jc w:val="left"/>
            </w:pPr>
            <w:r>
              <w:t xml:space="preserve">100+ Shopify merchants, 2 enterprise pilots</w:t>
            </w:r>
          </w:p>
        </w:tc>
        <w:tc>
          <w:p>
            <w:pPr>
              <w:pStyle w:val="Compact"/>
              <w:jc w:val="left"/>
            </w:pPr>
            <w:r>
              <w:t xml:space="preserve">Tirana HQ, EU and UK customers</w:t>
            </w:r>
          </w:p>
        </w:tc>
        <w:tc>
          <w:p>
            <w:pPr>
              <w:pStyle w:val="Compact"/>
              <w:jc w:val="left"/>
            </w:pPr>
            <w:r>
              <w:t xml:space="preserve">“</w:t>
            </w:r>
            <w:r>
              <w:t xml:space="preserve">Live on Shopify with real lift data</w:t>
            </w:r>
            <w:r>
              <w:t xml:space="preserve">”</w:t>
            </w:r>
          </w:p>
        </w:tc>
      </w:tr>
      <w:tr>
        <w:tc>
          <w:p>
            <w:pPr>
              <w:pStyle w:val="Compact"/>
              <w:jc w:val="left"/>
            </w:pPr>
            <w:r>
              <w:t xml:space="preserve">3 years</w:t>
            </w:r>
          </w:p>
        </w:tc>
        <w:tc>
          <w:p>
            <w:pPr>
              <w:pStyle w:val="Compact"/>
              <w:jc w:val="left"/>
            </w:pPr>
            <w:r>
              <w:t xml:space="preserve">€10M ARR</w:t>
            </w:r>
          </w:p>
        </w:tc>
        <w:tc>
          <w:p>
            <w:pPr>
              <w:pStyle w:val="Compact"/>
              <w:jc w:val="left"/>
            </w:pPr>
            <w:r>
              <w:t xml:space="preserve">2,000 merchants, 20 enterprise</w:t>
            </w:r>
          </w:p>
        </w:tc>
        <w:tc>
          <w:p>
            <w:pPr>
              <w:pStyle w:val="Compact"/>
              <w:jc w:val="left"/>
            </w:pPr>
            <w:r>
              <w:t xml:space="preserve">SF + EU offices, paying customers in 25+ countries</w:t>
            </w:r>
          </w:p>
        </w:tc>
        <w:tc>
          <w:p>
            <w:pPr>
              <w:pStyle w:val="Compact"/>
              <w:jc w:val="left"/>
            </w:pPr>
            <w:r>
              <w:t xml:space="preserve">“</w:t>
            </w:r>
            <w:r>
              <w:t xml:space="preserve">Category-defining player with the dataset</w:t>
            </w:r>
            <w:r>
              <w:t xml:space="preserve">”</w:t>
            </w:r>
          </w:p>
        </w:tc>
      </w:tr>
      <w:tr>
        <w:tc>
          <w:p>
            <w:pPr>
              <w:pStyle w:val="Compact"/>
              <w:jc w:val="left"/>
            </w:pPr>
            <w:r>
              <w:t xml:space="preserve">5 years</w:t>
            </w:r>
          </w:p>
        </w:tc>
        <w:tc>
          <w:p>
            <w:pPr>
              <w:pStyle w:val="Compact"/>
              <w:jc w:val="left"/>
            </w:pPr>
            <w:r>
              <w:t xml:space="preserve">€50M ARR</w:t>
            </w:r>
          </w:p>
        </w:tc>
        <w:tc>
          <w:p>
            <w:pPr>
              <w:pStyle w:val="Compact"/>
              <w:jc w:val="left"/>
            </w:pPr>
            <w:r>
              <w:t xml:space="preserve">5,000 merchants, 100 enterprise</w:t>
            </w:r>
          </w:p>
        </w:tc>
        <w:tc>
          <w:p>
            <w:pPr>
              <w:pStyle w:val="Compact"/>
              <w:jc w:val="left"/>
            </w:pPr>
            <w:r>
              <w:t xml:space="preserve">Global, multi-platform</w:t>
            </w:r>
          </w:p>
        </w:tc>
        <w:tc>
          <w:p>
            <w:pPr>
              <w:pStyle w:val="Compact"/>
              <w:jc w:val="left"/>
            </w:pPr>
            <w:r>
              <w:t xml:space="preserve">“</w:t>
            </w:r>
            <w:r>
              <w:t xml:space="preserve">The optimization layer of agent commerce</w:t>
            </w:r>
            <w:r>
              <w:t xml:space="preserve">”</w:t>
            </w:r>
          </w:p>
        </w:tc>
      </w:tr>
      <w:tr>
        <w:tc>
          <w:p>
            <w:pPr>
              <w:pStyle w:val="Compact"/>
              <w:jc w:val="left"/>
            </w:pPr>
            <w:r>
              <w:t xml:space="preserve">10 years</w:t>
            </w:r>
          </w:p>
        </w:tc>
        <w:tc>
          <w:p>
            <w:pPr>
              <w:pStyle w:val="Compact"/>
              <w:jc w:val="left"/>
            </w:pPr>
            <w:r>
              <w:t xml:space="preserve">Public-company candidate</w:t>
            </w:r>
          </w:p>
        </w:tc>
        <w:tc>
          <w:p>
            <w:pPr>
              <w:pStyle w:val="Compact"/>
              <w:jc w:val="left"/>
            </w:pPr>
            <w:r>
              <w:t xml:space="preserve">Default tooling for the long tail of internet commerce</w:t>
            </w:r>
          </w:p>
        </w:tc>
        <w:tc>
          <w:p>
            <w:pPr>
              <w:pStyle w:val="Compact"/>
              <w:jc w:val="left"/>
            </w:pPr>
            <w:r>
              <w:t xml:space="preserve">Everywhere agents transact</w:t>
            </w:r>
          </w:p>
        </w:tc>
        <w:tc>
          <w:p>
            <w:pPr>
              <w:pStyle w:val="Compact"/>
              <w:jc w:val="left"/>
            </w:pPr>
            <w:r>
              <w:t xml:space="preserve">“</w:t>
            </w:r>
            <w:r>
              <w:t xml:space="preserve">What Datadog is to observability, écentic is to agent commerce</w:t>
            </w:r>
            <w:r>
              <w:t xml:space="preserve">”</w:t>
            </w:r>
          </w:p>
        </w:tc>
      </w:tr>
    </w:tbl>
    <w:p>
      <w:r>
        <w:pict>
          <v:rect style="width:0;height:1.5pt" o:hralign="center" o:hrstd="t" o:hr="t"/>
        </w:pict>
      </w:r>
    </w:p>
    <w:p>
      <w:pPr>
        <w:pStyle w:val="Heading2"/>
      </w:pPr>
      <w:bookmarkStart w:id="27" w:name="what-we-will-refuse-to-do"/>
      <w:r>
        <w:t xml:space="preserve">What we will refuse to do</w:t>
      </w:r>
      <w:bookmarkEnd w:id="27"/>
    </w:p>
    <w:p>
      <w:pPr>
        <w:numPr>
          <w:ilvl w:val="0"/>
          <w:numId w:val="1002"/>
        </w:numPr>
        <w:pStyle w:val="Compact"/>
      </w:pPr>
      <w:r>
        <w:rPr>
          <w:b/>
        </w:rPr>
        <w:t xml:space="preserve">Become an agent ourselves.</w:t>
      </w:r>
      <w:r>
        <w:t xml:space="preserve"> </w:t>
      </w:r>
      <w:r>
        <w:t xml:space="preserve">Building consumer-facing AI shopping agents puts us in competition with our distribution partners (OpenAI, Google, Anthropic). We are the optimization layer for merchants. Different game.</w:t>
      </w:r>
    </w:p>
    <w:p>
      <w:pPr>
        <w:numPr>
          <w:ilvl w:val="0"/>
          <w:numId w:val="1002"/>
        </w:numPr>
        <w:pStyle w:val="Compact"/>
      </w:pPr>
      <w:r>
        <w:rPr>
          <w:b/>
        </w:rPr>
        <w:t xml:space="preserve">Build a marketplace.</w:t>
      </w:r>
      <w:r>
        <w:t xml:space="preserve"> </w:t>
      </w:r>
      <w:r>
        <w:t xml:space="preserve">Marketplaces compete with our customers (merchants). We are infrastructure, not destination.</w:t>
      </w:r>
    </w:p>
    <w:p>
      <w:pPr>
        <w:numPr>
          <w:ilvl w:val="0"/>
          <w:numId w:val="1002"/>
        </w:numPr>
        <w:pStyle w:val="Compact"/>
      </w:pPr>
      <w:r>
        <w:rPr>
          <w:b/>
        </w:rPr>
        <w:t xml:space="preserve">Charge agents for placement.</w:t>
      </w:r>
      <w:r>
        <w:t xml:space="preserve"> </w:t>
      </w:r>
      <w:r>
        <w:t xml:space="preserve">This would invert our entire value proposition. Merchants pay us, not the other way around.</w:t>
      </w:r>
    </w:p>
    <w:p>
      <w:pPr>
        <w:numPr>
          <w:ilvl w:val="0"/>
          <w:numId w:val="1002"/>
        </w:numPr>
        <w:pStyle w:val="Compact"/>
      </w:pPr>
      <w:r>
        <w:rPr>
          <w:b/>
        </w:rPr>
        <w:t xml:space="preserve">Manipulate ranking with bad-faith content.</w:t>
      </w:r>
      <w:r>
        <w:t xml:space="preserve"> </w:t>
      </w:r>
      <w:r>
        <w:t xml:space="preserve">The minute we ship</w:t>
      </w:r>
      <w:r>
        <w:t xml:space="preserve"> </w:t>
      </w:r>
      <w:r>
        <w:t xml:space="preserve">“</w:t>
      </w:r>
      <w:r>
        <w:t xml:space="preserve">agent-spam</w:t>
      </w:r>
      <w:r>
        <w:t xml:space="preserve">”</w:t>
      </w:r>
      <w:r>
        <w:t xml:space="preserve"> </w:t>
      </w:r>
      <w:r>
        <w:t xml:space="preserve">optimization, we lose the trust of both the platforms and the regulators that follow them. We optimize the underlying signal, not gaming.</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2026-06-02T13:47:25Z</dcterms:created>
  <dcterms:modified xsi:type="dcterms:W3CDTF">2026-06-02T13:47:25Z</dcterms:modified>
</cp:coreProperties>
</file>

<file path=docProps/custom.xml><?xml version="1.0" encoding="utf-8"?>
<Properties xmlns="http://schemas.openxmlformats.org/officeDocument/2006/custom-properties" xmlns:vt="http://schemas.openxmlformats.org/officeDocument/2006/docPropsVTypes"/>
</file>