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hiring-plan-12-month-post-raise"/>
      <w:r>
        <w:t xml:space="preserve">écentic — Hiring Plan (12-Month Post-Raise)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  <w:r>
        <w:t xml:space="preserve"> </w:t>
      </w:r>
      <w:r>
        <w:rPr>
          <w:b/>
        </w:rPr>
        <w:t xml:space="preserve">Round closing target:</w:t>
      </w:r>
      <w:r>
        <w:t xml:space="preserve"> </w:t>
      </w:r>
      <w:r>
        <w:t xml:space="preserve">Q3 2026</w:t>
      </w:r>
      <w:r>
        <w:t xml:space="preserve"> </w:t>
      </w:r>
      <w:r>
        <w:rPr>
          <w:b/>
        </w:rPr>
        <w:t xml:space="preserve">Starting headcount:</w:t>
      </w:r>
      <w:r>
        <w:t xml:space="preserve"> </w:t>
      </w:r>
      <w:r>
        <w:t xml:space="preserve">3 founders + 2 contractors</w:t>
      </w:r>
    </w:p>
    <w:p>
      <w:pPr>
        <w:pStyle w:val="Heading2"/>
      </w:pPr>
      <w:bookmarkStart w:id="21" w:name="hires-planned-against-the-300k-raise"/>
      <w:r>
        <w:t xml:space="preserve">Hires planned against the €300K raise</w:t>
      </w:r>
      <w:bookmarkEnd w:id="21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 Month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Gross monthly cost (€)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this hire, this month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Senior Back-End Engineer</w:t>
            </w:r>
          </w:p>
        </w:tc>
        <w:tc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p>
            <w:pPr>
              <w:pStyle w:val="Compact"/>
              <w:jc w:val="left"/>
            </w:pPr>
            <w:r>
              <w:t xml:space="preserve">2,500</w:t>
            </w:r>
          </w:p>
        </w:tc>
        <w:tc>
          <w:p>
            <w:pPr>
              <w:pStyle w:val="Compact"/>
              <w:jc w:val="left"/>
            </w:pPr>
            <w:r>
              <w:t xml:space="preserve">Scale the simulation engine and the catalog-sync pipeline beyond what two founder-engineers can ship weekly. Unblocks WooCommerce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GTM / Sales Lead</w:t>
            </w:r>
          </w:p>
        </w:tc>
        <w:tc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p>
            <w:pPr>
              <w:pStyle w:val="Compact"/>
              <w:jc w:val="left"/>
            </w:pPr>
            <w:r>
              <w:t xml:space="preserve">2,800</w:t>
            </w:r>
          </w:p>
        </w:tc>
        <w:tc>
          <w:p>
            <w:pPr>
              <w:pStyle w:val="Compact"/>
              <w:jc w:val="left"/>
            </w:pPr>
            <w:r>
              <w:t xml:space="preserve">Run the Shopify App Store launch playbook, qualify enterprise pilot conversations sourced through Plug and Play. Removes Iseld from purely-tactical sales work.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Full-Stack Engineer</w:t>
            </w:r>
          </w:p>
        </w:tc>
        <w:tc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p>
            <w:pPr>
              <w:pStyle w:val="Compact"/>
              <w:jc w:val="left"/>
            </w:pPr>
            <w:r>
              <w:t xml:space="preserve">2,500</w:t>
            </w:r>
          </w:p>
        </w:tc>
        <w:tc>
          <w:p>
            <w:pPr>
              <w:pStyle w:val="Compact"/>
              <w:jc w:val="left"/>
            </w:pPr>
            <w:r>
              <w:t xml:space="preserve">Ship the BigCommerce and Amazon SP-API integrations. Build the merchant-facing optimization center.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Marketing &amp; Content Lead</w:t>
            </w:r>
          </w:p>
        </w:tc>
        <w:tc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p>
            <w:pPr>
              <w:pStyle w:val="Compact"/>
              <w:jc w:val="left"/>
            </w:pPr>
            <w:r>
              <w:t xml:space="preserve">2,800</w:t>
            </w:r>
          </w:p>
        </w:tc>
        <w:tc>
          <w:p>
            <w:pPr>
              <w:pStyle w:val="Compact"/>
              <w:jc w:val="left"/>
            </w:pPr>
            <w:r>
              <w:t xml:space="preserve">Own the content engine (blog, comparative case studies, YouTube), feed inbound funnel for the Shopify App Store listing.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Customer Success</w:t>
            </w:r>
          </w:p>
        </w:tc>
        <w:tc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p>
            <w:pPr>
              <w:pStyle w:val="Compact"/>
              <w:jc w:val="left"/>
            </w:pPr>
            <w:r>
              <w:t xml:space="preserve">2,800</w:t>
            </w:r>
          </w:p>
        </w:tc>
        <w:tc>
          <w:p>
            <w:pPr>
              <w:pStyle w:val="Compact"/>
              <w:jc w:val="left"/>
            </w:pPr>
            <w:r>
              <w:t xml:space="preserve">Onboard and retain merchants as we cross 100 paying customers. Owns the agency-services delivery for the higher-touch tier.</w:t>
            </w:r>
          </w:p>
        </w:tc>
      </w:tr>
    </w:tbl>
    <w:p>
      <w:pPr>
        <w:pStyle w:val="BodyText"/>
      </w:pPr>
      <w:r>
        <w:t xml:space="preserve">Five new hires by end of Year 1, bringing the team from 5 to 10 (including the 3 founders and 2 contractors).</w:t>
      </w:r>
    </w:p>
    <w:p>
      <w:pPr>
        <w:pStyle w:val="Heading2"/>
      </w:pPr>
      <w:bookmarkStart w:id="22" w:name="burn-impact"/>
      <w:r>
        <w:t xml:space="preserve">Burn impact</w:t>
      </w:r>
      <w:bookmarkEnd w:id="22"/>
    </w:p>
    <w:p>
      <w:pPr>
        <w:pStyle w:val="FirstParagraph"/>
      </w:pPr>
      <w:r>
        <w:t xml:space="preserve">The full Year 1 cumulative cost of the hiring plan is approximately</w:t>
      </w:r>
      <w:r>
        <w:t xml:space="preserve"> </w:t>
      </w:r>
      <w:r>
        <w:rPr>
          <w:b/>
        </w:rPr>
        <w:t xml:space="preserve">€95K</w:t>
      </w:r>
      <w:r>
        <w:t xml:space="preserve"> </w:t>
      </w:r>
      <w:r>
        <w:t xml:space="preserve">(staggered start dates), against a total Year 1 cost run-rate captured in the Financial Model. This leaves the remainder of the €300K raise to fund founder salaries (which start at M3), infrastructure scaling, marketing investment, and a six-month buffer at exit of Year 1 if the SaaS ramp underperforms.</w:t>
      </w:r>
    </w:p>
    <w:p>
      <w:pPr>
        <w:pStyle w:val="Heading2"/>
      </w:pPr>
      <w:bookmarkStart w:id="23" w:name="compensation-philosophy"/>
      <w:r>
        <w:t xml:space="preserve">Compensation philosophy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Founder salaries:</w:t>
      </w:r>
      <w:r>
        <w:t xml:space="preserve"> </w:t>
      </w:r>
      <w:r>
        <w:t xml:space="preserve">€1,500 / month each starting M3. Below-market, reflective of capital constraints. Reviewed at the Year 1 closing of next round.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Engineering salaries:</w:t>
      </w:r>
      <w:r>
        <w:t xml:space="preserve"> </w:t>
      </w:r>
      <w:r>
        <w:t xml:space="preserve">€2,500 gross / month. At or slightly above Tirana market for mid-senior engineers; below Western European market by design.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GTM and marketing:</w:t>
      </w:r>
      <w:r>
        <w:t xml:space="preserve"> </w:t>
      </w:r>
      <w:r>
        <w:t xml:space="preserve">€2,800 gross / month. Slightly above engineering to reflect direct revenue accountability.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Equity for new hires:</w:t>
      </w:r>
      <w:r>
        <w:t xml:space="preserve"> </w:t>
      </w:r>
      <w:r>
        <w:t xml:space="preserve">All hires receive option grants from the 10% ESOP pool, vesting on the standard 4-year / 1-year cliff schedule per the Stock Option Plan. Senior hires (Lead-level) receive 0.5%–1.5% on a fully diluted basis. Engineer-level hires receive 0.25%–0.75%.</w:t>
      </w:r>
    </w:p>
    <w:p>
      <w:pPr>
        <w:pStyle w:val="Heading2"/>
      </w:pPr>
      <w:bookmarkStart w:id="24" w:name="hires-not-planned-in-year-1"/>
      <w:r>
        <w:t xml:space="preserve">Hires NOT planned in Year 1</w:t>
      </w:r>
      <w:bookmarkEnd w:id="24"/>
    </w:p>
    <w:p>
      <w:pPr>
        <w:pStyle w:val="FirstParagraph"/>
      </w:pPr>
      <w:r>
        <w:t xml:space="preserve">These are intentional decisions, not oversights: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COO / VP-level hires.</w:t>
      </w:r>
      <w:r>
        <w:t xml:space="preserve"> </w:t>
      </w:r>
      <w:r>
        <w:t xml:space="preserve">Founders run their respective functions through Year 1; senior leadership decisions wait until product-market-fit is harder to challenge.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designer.</w:t>
      </w:r>
      <w:r>
        <w:t xml:space="preserve"> </w:t>
      </w:r>
      <w:r>
        <w:t xml:space="preserve">Mario covers product and brand design as a contractor; we will revisit once we have &gt;€500K ARR.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dedicated SRE / DevOps.</w:t>
      </w:r>
      <w:r>
        <w:t xml:space="preserve"> </w:t>
      </w:r>
      <w:r>
        <w:t xml:space="preserve">Alvi (CTO) and Engineer #1 cover infrastructure; the codebase is hostable on Vercel + managed PostgreSQL until scale warrants otherwise.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US-based salesperson.</w:t>
      </w:r>
      <w:r>
        <w:t xml:space="preserve"> </w:t>
      </w:r>
      <w:r>
        <w:t xml:space="preserve">Iseld covers US and EU enterprise from Tirana via remote selling; physical US presence postponed to Series A.</w:t>
      </w:r>
    </w:p>
    <w:p>
      <w:pPr>
        <w:pStyle w:val="Heading2"/>
      </w:pPr>
      <w:bookmarkStart w:id="25" w:name="X7881f18aebf66fb29698888710a703bd6bb0ec1"/>
      <w:r>
        <w:t xml:space="preserve">Hiring sequence triggers (when to pull hires forward or push back)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Store install rate &lt; 50 / week by M3</w:t>
            </w:r>
          </w:p>
        </w:tc>
        <w:tc>
          <w:p>
            <w:pPr>
              <w:pStyle w:val="Compact"/>
              <w:jc w:val="left"/>
            </w:pPr>
            <w:r>
              <w:t xml:space="preserve">Pull GTM/Sales Lead forward to M2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Enterprise pilot signed before M6</w:t>
            </w:r>
          </w:p>
        </w:tc>
        <w:tc>
          <w:p>
            <w:pPr>
              <w:pStyle w:val="Compact"/>
              <w:jc w:val="left"/>
            </w:pPr>
            <w:r>
              <w:t xml:space="preserve">Pull Customer Success forward to M9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WooCommerce integration delayed</w:t>
            </w:r>
          </w:p>
        </w:tc>
        <w:tc>
          <w:p>
            <w:pPr>
              <w:pStyle w:val="Compact"/>
              <w:jc w:val="left"/>
            </w:pPr>
            <w:r>
              <w:t xml:space="preserve">Pull Engineer #2 forward to M5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MRR &gt; €25K by M6</w:t>
            </w:r>
          </w:p>
        </w:tc>
        <w:tc>
          <w:p>
            <w:pPr>
              <w:pStyle w:val="Compact"/>
              <w:jc w:val="left"/>
            </w:pPr>
            <w:r>
              <w:t xml:space="preserve">Add a second GTM hire (account executive) at M8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MRR &lt; €10K by M9</w:t>
            </w:r>
          </w:p>
        </w:tc>
        <w:tc>
          <w:p>
            <w:pPr>
              <w:pStyle w:val="Compact"/>
              <w:jc w:val="left"/>
            </w:pPr>
            <w:r>
              <w:t xml:space="preserve">Freeze marketing and CS hires; reallocate to engineering</w:t>
            </w:r>
          </w:p>
        </w:tc>
      </w:tr>
    </w:tbl>
    <w:p>
      <w:pPr>
        <w:pStyle w:val="Heading2"/>
      </w:pPr>
      <w:bookmarkStart w:id="26" w:name="geographic-distribution"/>
      <w:r>
        <w:t xml:space="preserve">Geographic distribution</w:t>
      </w:r>
      <w:bookmarkEnd w:id="26"/>
    </w:p>
    <w:p>
      <w:pPr>
        <w:pStyle w:val="FirstParagraph"/>
      </w:pPr>
      <w:r>
        <w:t xml:space="preserve">All hires expected to be Tirana-based or remote-EU through Year 1. This keeps salaries efficient, simplifies legal and tax structuring (Albanian SHPK employment contracts), and preserves the company’s existing cultural cohesion. Remote-EU hiring opens up once we have ≥ 8 people and the operational muscle to support distributed work.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2026-06-02T13:47:23Z</dcterms:created>
  <dcterms:modified xsi:type="dcterms:W3CDTF">2026-06-02T13:47:23Z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